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26" w:rsidRDefault="00123E26" w:rsidP="00123E26">
      <w:pPr>
        <w:pStyle w:val="Default"/>
      </w:pPr>
    </w:p>
    <w:p w:rsidR="00BE19A5" w:rsidRDefault="00123E26" w:rsidP="00BE1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E2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C751CC" w:rsidRPr="00123E26" w:rsidRDefault="00123E26" w:rsidP="00123E2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E26">
        <w:rPr>
          <w:rFonts w:ascii="Times New Roman" w:hAnsi="Times New Roman" w:cs="Times New Roman"/>
          <w:b/>
          <w:bCs/>
          <w:sz w:val="28"/>
          <w:szCs w:val="28"/>
        </w:rPr>
        <w:t>о состоянии и развитии потребительского рынка в Семикаракорском городском поселении по состоянию на 01.10.2017</w:t>
      </w:r>
    </w:p>
    <w:p w:rsidR="00123E26" w:rsidRDefault="00EE42F7" w:rsidP="00F85A3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85A3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23E26">
        <w:rPr>
          <w:rFonts w:ascii="Times New Roman" w:hAnsi="Times New Roman" w:cs="Times New Roman"/>
          <w:bCs/>
          <w:sz w:val="28"/>
          <w:szCs w:val="28"/>
        </w:rPr>
        <w:t>Потребительский рынок является одной из важнейших сфер экономической деятельности, обеспечивающей жизнедеятельность и благополучие населения Семикаракорска. Состояние, структура, тенденции и динамика развития потребительского рынка напрямую отражает социально-экономическую ситуацию в городе и призвано обеспечивать бесперебойность снабжения населения товарами и услугами.</w:t>
      </w:r>
    </w:p>
    <w:p w:rsidR="00CD28A5" w:rsidRDefault="00CD28A5" w:rsidP="002A46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2F7">
        <w:rPr>
          <w:rFonts w:ascii="Times New Roman" w:hAnsi="Times New Roman" w:cs="Times New Roman"/>
          <w:sz w:val="28"/>
          <w:szCs w:val="28"/>
        </w:rPr>
        <w:t xml:space="preserve">  </w:t>
      </w:r>
      <w:r w:rsidR="00F85A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CD28A5">
        <w:rPr>
          <w:rFonts w:ascii="Times New Roman" w:hAnsi="Times New Roman" w:cs="Times New Roman"/>
          <w:sz w:val="28"/>
          <w:szCs w:val="28"/>
        </w:rPr>
        <w:t>интенсивн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28A5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CD28A5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8A5">
        <w:rPr>
          <w:rFonts w:ascii="Times New Roman" w:hAnsi="Times New Roman" w:cs="Times New Roman"/>
          <w:sz w:val="28"/>
          <w:szCs w:val="28"/>
        </w:rPr>
        <w:t xml:space="preserve"> потребительского рынка с учётом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возможностей, что способствует насыщению рынка товарами, услугами и привлечением жителей всего района.</w:t>
      </w:r>
    </w:p>
    <w:p w:rsidR="0033081C" w:rsidRDefault="0033081C" w:rsidP="0033081C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сосредоточено более 70% всего розничного товарооборота района, 80% оборота общественного питания и бытового обслуживания. Потребительская сфера объединяет более 1200 индивидуальных предпринимателей. В отраслях торговли, общественного питания и бытового обслуживания населения занято почти половина всех субъектов предпринимательства.</w:t>
      </w:r>
    </w:p>
    <w:p w:rsidR="008105B7" w:rsidRDefault="002A462D" w:rsidP="008105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0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Конкурентные преимущества города Семикаракорска: </w:t>
      </w:r>
    </w:p>
    <w:p w:rsidR="008105B7" w:rsidRDefault="008105B7" w:rsidP="008105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3628" w:rsidRPr="002A462D">
        <w:rPr>
          <w:rFonts w:ascii="Times New Roman" w:hAnsi="Times New Roman" w:cs="Times New Roman"/>
          <w:sz w:val="28"/>
          <w:szCs w:val="28"/>
        </w:rPr>
        <w:t>ысокая плотность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1C3628" w:rsidRPr="002A4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05B7" w:rsidRDefault="008105B7" w:rsidP="008105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C3628" w:rsidRPr="002A462D">
        <w:rPr>
          <w:rFonts w:ascii="Times New Roman" w:hAnsi="Times New Roman" w:cs="Times New Roman"/>
          <w:sz w:val="28"/>
          <w:szCs w:val="28"/>
        </w:rPr>
        <w:t>ерез территорию городского поселения проходят  важнейшие</w:t>
      </w:r>
      <w:r w:rsidR="001C3628" w:rsidRPr="002A4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3628" w:rsidRPr="002A462D">
        <w:rPr>
          <w:rFonts w:ascii="Times New Roman" w:hAnsi="Times New Roman" w:cs="Times New Roman"/>
          <w:sz w:val="28"/>
          <w:szCs w:val="28"/>
        </w:rPr>
        <w:t>транспортные ар</w:t>
      </w:r>
      <w:r w:rsidR="002A462D">
        <w:rPr>
          <w:rFonts w:ascii="Times New Roman" w:hAnsi="Times New Roman" w:cs="Times New Roman"/>
          <w:sz w:val="28"/>
          <w:szCs w:val="28"/>
        </w:rPr>
        <w:t xml:space="preserve">терии областного  </w:t>
      </w:r>
      <w:r w:rsidR="001C3628" w:rsidRPr="002A462D">
        <w:rPr>
          <w:rFonts w:ascii="Times New Roman" w:hAnsi="Times New Roman" w:cs="Times New Roman"/>
          <w:sz w:val="28"/>
          <w:szCs w:val="28"/>
        </w:rPr>
        <w:t>и федерального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C3628" w:rsidRPr="002A4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05B7" w:rsidRDefault="008105B7" w:rsidP="008105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3628" w:rsidRPr="002A462D">
        <w:rPr>
          <w:rFonts w:ascii="Times New Roman" w:hAnsi="Times New Roman" w:cs="Times New Roman"/>
          <w:sz w:val="28"/>
          <w:szCs w:val="28"/>
        </w:rPr>
        <w:t xml:space="preserve">ысокий уровень развитости финансовой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3628" w:rsidRPr="002A462D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1C3628" w:rsidRPr="002A4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05B7" w:rsidRDefault="008105B7" w:rsidP="008105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3628" w:rsidRPr="002A462D">
        <w:rPr>
          <w:rFonts w:ascii="Times New Roman" w:hAnsi="Times New Roman" w:cs="Times New Roman"/>
          <w:sz w:val="28"/>
          <w:szCs w:val="28"/>
        </w:rPr>
        <w:t>аличие квалифицированной рабочей силы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1C3628" w:rsidRPr="002A4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670F" w:rsidRDefault="008105B7" w:rsidP="008105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3628" w:rsidRPr="002A462D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развития туризма </w:t>
      </w:r>
      <w:r w:rsidR="001C3628" w:rsidRPr="002A462D">
        <w:rPr>
          <w:rFonts w:ascii="Times New Roman" w:hAnsi="Times New Roman" w:cs="Times New Roman"/>
          <w:sz w:val="28"/>
          <w:szCs w:val="28"/>
        </w:rPr>
        <w:t>и социальной сферы</w:t>
      </w:r>
    </w:p>
    <w:p w:rsidR="006C6377" w:rsidRDefault="006C6377" w:rsidP="008105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3B24" w:rsidRPr="002A462D" w:rsidRDefault="00A13B24" w:rsidP="008105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3081C" w:rsidRDefault="00A13B24" w:rsidP="003308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3B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5290" cy="3787140"/>
            <wp:effectExtent l="19050" t="0" r="22860" b="381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081C" w:rsidRPr="00420116" w:rsidRDefault="0033081C" w:rsidP="0033081C">
      <w:pPr>
        <w:pStyle w:val="ConsPlusNormal"/>
        <w:widowControl/>
        <w:ind w:left="-709" w:right="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20116">
        <w:rPr>
          <w:rFonts w:ascii="Times New Roman" w:hAnsi="Times New Roman" w:cs="Times New Roman"/>
          <w:sz w:val="28"/>
          <w:szCs w:val="28"/>
        </w:rPr>
        <w:t xml:space="preserve">Структура сферы малого предпринимательства за последние годы не изменилась. Учитывая, что малому предпринимательству свойственно вложение средств в отрасли, где, безусловно, есть перспектива </w:t>
      </w:r>
      <w:proofErr w:type="gramStart"/>
      <w:r w:rsidRPr="00420116">
        <w:rPr>
          <w:rFonts w:ascii="Times New Roman" w:hAnsi="Times New Roman" w:cs="Times New Roman"/>
          <w:sz w:val="28"/>
          <w:szCs w:val="28"/>
        </w:rPr>
        <w:t>спроса</w:t>
      </w:r>
      <w:proofErr w:type="gramEnd"/>
      <w:r w:rsidRPr="00420116">
        <w:rPr>
          <w:rFonts w:ascii="Times New Roman" w:hAnsi="Times New Roman" w:cs="Times New Roman"/>
          <w:sz w:val="28"/>
          <w:szCs w:val="28"/>
        </w:rPr>
        <w:t xml:space="preserve"> и доходности на территории Семикаракорского городского поселения по прежнему лидируют по количеству предприятия, осуществляющие деятельность по виду «розничная торговля», «ремонт автотранспортных средств, бытовых изделий», «сельское хозяйство», «рыболовство».</w:t>
      </w:r>
    </w:p>
    <w:p w:rsidR="0033081C" w:rsidRDefault="0033081C" w:rsidP="0033081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7A91" w:rsidRPr="0033081C" w:rsidRDefault="00EE42F7" w:rsidP="0033081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D3D30">
        <w:rPr>
          <w:rFonts w:ascii="Times New Roman" w:hAnsi="Times New Roman" w:cs="Times New Roman"/>
          <w:b/>
          <w:sz w:val="24"/>
          <w:szCs w:val="24"/>
        </w:rPr>
        <w:t>О</w:t>
      </w:r>
      <w:r w:rsidR="006D3D30">
        <w:rPr>
          <w:rFonts w:ascii="Times New Roman" w:hAnsi="Times New Roman" w:cs="Times New Roman"/>
          <w:b/>
          <w:sz w:val="24"/>
          <w:szCs w:val="24"/>
        </w:rPr>
        <w:t>СНОВНЫЕ ПОКАЗАТЕЛИ РАЗВИТИЯ</w:t>
      </w:r>
      <w:r w:rsidR="00330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D30">
        <w:rPr>
          <w:rFonts w:ascii="Times New Roman" w:hAnsi="Times New Roman" w:cs="Times New Roman"/>
          <w:b/>
          <w:sz w:val="24"/>
          <w:szCs w:val="24"/>
        </w:rPr>
        <w:t>ПОТРЕБИТЕЛЬСКОГО РЫНКА</w:t>
      </w:r>
    </w:p>
    <w:p w:rsidR="00FB2911" w:rsidRPr="006D3D30" w:rsidRDefault="006D3D30" w:rsidP="00887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30">
        <w:rPr>
          <w:rFonts w:ascii="Times New Roman" w:hAnsi="Times New Roman" w:cs="Times New Roman"/>
          <w:b/>
          <w:sz w:val="28"/>
          <w:szCs w:val="28"/>
        </w:rPr>
        <w:t>за 2014-2017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Ind w:w="-970" w:type="dxa"/>
        <w:tblLook w:val="04A0"/>
      </w:tblPr>
      <w:tblGrid>
        <w:gridCol w:w="2257"/>
        <w:gridCol w:w="1134"/>
        <w:gridCol w:w="1416"/>
        <w:gridCol w:w="1278"/>
        <w:gridCol w:w="1275"/>
        <w:gridCol w:w="1713"/>
        <w:gridCol w:w="1280"/>
      </w:tblGrid>
      <w:tr w:rsidR="0089772A" w:rsidRPr="00887A91" w:rsidTr="00887A91">
        <w:trPr>
          <w:jc w:val="center"/>
        </w:trPr>
        <w:tc>
          <w:tcPr>
            <w:tcW w:w="2257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2014 год отчет</w:t>
            </w:r>
          </w:p>
        </w:tc>
        <w:tc>
          <w:tcPr>
            <w:tcW w:w="1278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2015 год отчет</w:t>
            </w:r>
          </w:p>
        </w:tc>
        <w:tc>
          <w:tcPr>
            <w:tcW w:w="1275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2016 год отчет</w:t>
            </w:r>
          </w:p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89772A" w:rsidRPr="00887A91" w:rsidRDefault="0089772A" w:rsidP="0089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Темп роста 2016 к 2014 году, %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полугодие 2017</w:t>
            </w:r>
          </w:p>
        </w:tc>
      </w:tr>
      <w:tr w:rsidR="0089772A" w:rsidRPr="00887A91" w:rsidTr="00887A91">
        <w:trPr>
          <w:jc w:val="center"/>
        </w:trPr>
        <w:tc>
          <w:tcPr>
            <w:tcW w:w="2257" w:type="dxa"/>
          </w:tcPr>
          <w:p w:rsidR="0089772A" w:rsidRPr="00887A91" w:rsidRDefault="0089772A" w:rsidP="00E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Оборот предприятия и выручка от реализации</w:t>
            </w:r>
          </w:p>
        </w:tc>
        <w:tc>
          <w:tcPr>
            <w:tcW w:w="1134" w:type="dxa"/>
          </w:tcPr>
          <w:p w:rsidR="0089772A" w:rsidRPr="00887A91" w:rsidRDefault="0089772A" w:rsidP="00E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89772A" w:rsidRPr="00887A91" w:rsidRDefault="0089772A" w:rsidP="00E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1006915,1</w:t>
            </w:r>
          </w:p>
        </w:tc>
        <w:tc>
          <w:tcPr>
            <w:tcW w:w="1278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1064727,5</w:t>
            </w:r>
          </w:p>
        </w:tc>
        <w:tc>
          <w:tcPr>
            <w:tcW w:w="1275" w:type="dxa"/>
          </w:tcPr>
          <w:p w:rsidR="0089772A" w:rsidRPr="00887A91" w:rsidRDefault="0002009F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1753217,9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89772A" w:rsidRPr="00887A91" w:rsidRDefault="0002009F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89772A" w:rsidRPr="00887A91" w:rsidRDefault="00A051D7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622613,6</w:t>
            </w:r>
          </w:p>
        </w:tc>
      </w:tr>
      <w:tr w:rsidR="0089772A" w:rsidRPr="00887A91" w:rsidTr="00887A91">
        <w:trPr>
          <w:jc w:val="center"/>
        </w:trPr>
        <w:tc>
          <w:tcPr>
            <w:tcW w:w="2257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89772A" w:rsidRPr="00887A91" w:rsidRDefault="0089772A" w:rsidP="00FD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224897,4</w:t>
            </w:r>
          </w:p>
        </w:tc>
        <w:tc>
          <w:tcPr>
            <w:tcW w:w="1278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406833,0</w:t>
            </w:r>
          </w:p>
        </w:tc>
        <w:tc>
          <w:tcPr>
            <w:tcW w:w="1275" w:type="dxa"/>
          </w:tcPr>
          <w:p w:rsidR="0089772A" w:rsidRPr="00887A91" w:rsidRDefault="00795548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608104,0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89772A" w:rsidRPr="00887A91" w:rsidRDefault="00795548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в 2,7 раза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89772A" w:rsidRPr="00887A91" w:rsidRDefault="00A051D7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161039,4</w:t>
            </w:r>
          </w:p>
        </w:tc>
      </w:tr>
      <w:tr w:rsidR="0089772A" w:rsidRPr="00887A91" w:rsidTr="00887A91">
        <w:trPr>
          <w:jc w:val="center"/>
        </w:trPr>
        <w:tc>
          <w:tcPr>
            <w:tcW w:w="2257" w:type="dxa"/>
          </w:tcPr>
          <w:p w:rsidR="0089772A" w:rsidRPr="00887A91" w:rsidRDefault="0089772A" w:rsidP="00E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населению, всего</w:t>
            </w:r>
          </w:p>
        </w:tc>
        <w:tc>
          <w:tcPr>
            <w:tcW w:w="1134" w:type="dxa"/>
          </w:tcPr>
          <w:p w:rsidR="0089772A" w:rsidRPr="00887A91" w:rsidRDefault="0089772A" w:rsidP="00E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89772A" w:rsidRPr="00887A91" w:rsidRDefault="0089772A" w:rsidP="00E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54744,0</w:t>
            </w:r>
          </w:p>
        </w:tc>
        <w:tc>
          <w:tcPr>
            <w:tcW w:w="1278" w:type="dxa"/>
          </w:tcPr>
          <w:p w:rsidR="0089772A" w:rsidRPr="00887A91" w:rsidRDefault="0089772A" w:rsidP="00E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50731,6</w:t>
            </w:r>
          </w:p>
        </w:tc>
        <w:tc>
          <w:tcPr>
            <w:tcW w:w="1275" w:type="dxa"/>
          </w:tcPr>
          <w:p w:rsidR="0089772A" w:rsidRPr="00887A91" w:rsidRDefault="0002009F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51277,2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89772A" w:rsidRPr="00887A91" w:rsidRDefault="0002009F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2A" w:rsidRPr="00887A91" w:rsidTr="00887A91">
        <w:trPr>
          <w:jc w:val="center"/>
        </w:trPr>
        <w:tc>
          <w:tcPr>
            <w:tcW w:w="2257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134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6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278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275" w:type="dxa"/>
          </w:tcPr>
          <w:p w:rsidR="0089772A" w:rsidRPr="00887A91" w:rsidRDefault="0002009F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89772A" w:rsidRPr="00887A91" w:rsidRDefault="00795548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89772A" w:rsidRPr="00887A91" w:rsidRDefault="00F0288D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89772A" w:rsidRPr="00887A91" w:rsidTr="00887A91">
        <w:trPr>
          <w:jc w:val="center"/>
        </w:trPr>
        <w:tc>
          <w:tcPr>
            <w:tcW w:w="2257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134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6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12186,5</w:t>
            </w:r>
          </w:p>
        </w:tc>
        <w:tc>
          <w:tcPr>
            <w:tcW w:w="1278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12686,0</w:t>
            </w:r>
          </w:p>
          <w:p w:rsidR="00030610" w:rsidRPr="00887A91" w:rsidRDefault="00030610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72A" w:rsidRPr="00887A91" w:rsidRDefault="0002009F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13408</w:t>
            </w:r>
            <w:r w:rsidR="00795548" w:rsidRPr="00887A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0610" w:rsidRPr="00887A91" w:rsidRDefault="00030610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89772A" w:rsidRPr="00887A91" w:rsidRDefault="00795548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89772A" w:rsidRPr="00887A91" w:rsidRDefault="00F0288D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15303,7</w:t>
            </w:r>
          </w:p>
          <w:p w:rsidR="00030610" w:rsidRPr="00887A91" w:rsidRDefault="00030610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2A" w:rsidRPr="00887A91" w:rsidTr="00887A91">
        <w:trPr>
          <w:jc w:val="center"/>
        </w:trPr>
        <w:tc>
          <w:tcPr>
            <w:tcW w:w="2257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</w:t>
            </w:r>
          </w:p>
        </w:tc>
        <w:tc>
          <w:tcPr>
            <w:tcW w:w="1134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8" w:type="dxa"/>
          </w:tcPr>
          <w:p w:rsidR="0089772A" w:rsidRPr="00887A91" w:rsidRDefault="00795548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89772A" w:rsidRPr="00887A91" w:rsidRDefault="00795548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89772A" w:rsidRPr="00887A91" w:rsidRDefault="00795548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  <w:p w:rsidR="0089772A" w:rsidRPr="00887A91" w:rsidRDefault="0089772A" w:rsidP="0089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89772A" w:rsidRPr="00887A91" w:rsidRDefault="00A051D7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2A" w:rsidRPr="00887A91" w:rsidTr="00887A91">
        <w:trPr>
          <w:jc w:val="center"/>
        </w:trPr>
        <w:tc>
          <w:tcPr>
            <w:tcW w:w="2257" w:type="dxa"/>
          </w:tcPr>
          <w:p w:rsidR="0089772A" w:rsidRPr="00887A91" w:rsidRDefault="0089772A" w:rsidP="0097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</w:t>
            </w:r>
          </w:p>
        </w:tc>
        <w:tc>
          <w:tcPr>
            <w:tcW w:w="1134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6" w:type="dxa"/>
          </w:tcPr>
          <w:p w:rsidR="0089772A" w:rsidRPr="00887A91" w:rsidRDefault="0089772A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24774,9</w:t>
            </w:r>
          </w:p>
        </w:tc>
        <w:tc>
          <w:tcPr>
            <w:tcW w:w="1278" w:type="dxa"/>
          </w:tcPr>
          <w:p w:rsidR="0089772A" w:rsidRPr="00887A91" w:rsidRDefault="00795548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16726,4</w:t>
            </w:r>
          </w:p>
        </w:tc>
        <w:tc>
          <w:tcPr>
            <w:tcW w:w="1275" w:type="dxa"/>
          </w:tcPr>
          <w:p w:rsidR="0089772A" w:rsidRPr="00887A91" w:rsidRDefault="0002009F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11590,9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89772A" w:rsidRPr="00887A91" w:rsidRDefault="00795548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89772A" w:rsidRPr="00887A91" w:rsidRDefault="00B928C3" w:rsidP="00EE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91">
              <w:rPr>
                <w:rFonts w:ascii="Times New Roman" w:hAnsi="Times New Roman" w:cs="Times New Roman"/>
                <w:sz w:val="24"/>
                <w:szCs w:val="24"/>
              </w:rPr>
              <w:t>11036,5</w:t>
            </w:r>
          </w:p>
        </w:tc>
      </w:tr>
    </w:tbl>
    <w:p w:rsidR="0036316B" w:rsidRDefault="0036316B" w:rsidP="00C0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8A5" w:rsidRPr="00887A91" w:rsidRDefault="00EE42F7" w:rsidP="00C0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91">
        <w:rPr>
          <w:rFonts w:ascii="Times New Roman" w:hAnsi="Times New Roman" w:cs="Times New Roman"/>
          <w:sz w:val="24"/>
          <w:szCs w:val="24"/>
        </w:rPr>
        <w:t>*по малым предприятиям (включая микро)</w:t>
      </w:r>
    </w:p>
    <w:p w:rsidR="00C044F4" w:rsidRDefault="00C044F4" w:rsidP="00C044F4">
      <w:pPr>
        <w:pStyle w:val="Default"/>
        <w:ind w:left="-567"/>
        <w:jc w:val="both"/>
        <w:rPr>
          <w:color w:val="auto"/>
          <w:sz w:val="28"/>
          <w:szCs w:val="28"/>
        </w:rPr>
      </w:pPr>
    </w:p>
    <w:p w:rsidR="009559C0" w:rsidRDefault="00C044F4" w:rsidP="007513DA">
      <w:pPr>
        <w:pStyle w:val="Default"/>
        <w:ind w:left="-567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proofErr w:type="gramStart"/>
      <w:r w:rsidR="00751DD1" w:rsidRPr="00751DD1">
        <w:rPr>
          <w:color w:val="auto"/>
          <w:sz w:val="28"/>
          <w:szCs w:val="28"/>
        </w:rPr>
        <w:t xml:space="preserve">В </w:t>
      </w:r>
      <w:r w:rsidR="009559C0">
        <w:rPr>
          <w:color w:val="auto"/>
          <w:sz w:val="28"/>
          <w:szCs w:val="28"/>
        </w:rPr>
        <w:t>2016 году оборот розничной торговли крупных и средних предприятий составил 1709053 тыс. руб., темп роста оборота розничной торговли в фактических ценах в % к соответствующему периоду 2015 года составил 104,92%. Инвестиции в основной капитал крупных и средних предприятий в 2016 году составили 189466 тыс. руб., за соответствующий период 2015 года 251311 тыс. руб., темп роста 75,4 %.</w:t>
      </w:r>
      <w:r w:rsidR="003C25A5">
        <w:rPr>
          <w:color w:val="auto"/>
          <w:sz w:val="28"/>
          <w:szCs w:val="28"/>
        </w:rPr>
        <w:t xml:space="preserve"> Среднемесячная заработная плата в</w:t>
      </w:r>
      <w:proofErr w:type="gramEnd"/>
      <w:r w:rsidR="003C25A5">
        <w:rPr>
          <w:color w:val="auto"/>
          <w:sz w:val="28"/>
          <w:szCs w:val="28"/>
        </w:rPr>
        <w:t xml:space="preserve"> розничной торговле в 2016 году составила 17294,0 рублей, за </w:t>
      </w:r>
      <w:r w:rsidR="003C25A5">
        <w:rPr>
          <w:color w:val="auto"/>
          <w:sz w:val="28"/>
          <w:szCs w:val="28"/>
          <w:lang w:val="en-US"/>
        </w:rPr>
        <w:t xml:space="preserve">I </w:t>
      </w:r>
      <w:r w:rsidR="003C25A5">
        <w:rPr>
          <w:color w:val="auto"/>
          <w:sz w:val="28"/>
          <w:szCs w:val="28"/>
        </w:rPr>
        <w:t>полугодие 2017 года 18382,1 рублей.</w:t>
      </w:r>
    </w:p>
    <w:p w:rsidR="003C25A5" w:rsidRPr="003C25A5" w:rsidRDefault="003C25A5" w:rsidP="007513DA">
      <w:pPr>
        <w:pStyle w:val="Default"/>
        <w:ind w:left="-567" w:right="-284" w:firstLine="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887A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Объем платных услуг населению в 2016 году составил </w:t>
      </w:r>
      <w:r w:rsidRPr="003C25A5">
        <w:rPr>
          <w:sz w:val="28"/>
          <w:szCs w:val="28"/>
        </w:rPr>
        <w:t>51277,2 тыс. руб., темп роста к 2015 году составил 101,1 %</w:t>
      </w:r>
      <w:r>
        <w:rPr>
          <w:sz w:val="28"/>
          <w:szCs w:val="28"/>
        </w:rPr>
        <w:t xml:space="preserve">. </w:t>
      </w:r>
    </w:p>
    <w:p w:rsidR="00F26153" w:rsidRDefault="00887A91" w:rsidP="007513DA">
      <w:pPr>
        <w:pStyle w:val="a4"/>
        <w:spacing w:line="240" w:lineRule="auto"/>
        <w:ind w:left="-567" w:right="-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25A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51DD1" w:rsidRPr="00751DD1">
        <w:rPr>
          <w:rFonts w:ascii="Times New Roman" w:hAnsi="Times New Roman" w:cs="Times New Roman"/>
          <w:sz w:val="28"/>
          <w:szCs w:val="28"/>
        </w:rPr>
        <w:t xml:space="preserve">оборотов рынка товаров и услуг </w:t>
      </w:r>
      <w:r w:rsidR="003C25A5">
        <w:rPr>
          <w:rFonts w:ascii="Times New Roman" w:hAnsi="Times New Roman" w:cs="Times New Roman"/>
          <w:sz w:val="28"/>
          <w:szCs w:val="28"/>
        </w:rPr>
        <w:t xml:space="preserve">свидетельствует о стабильной </w:t>
      </w:r>
      <w:r w:rsidR="00751DD1" w:rsidRPr="00751DD1">
        <w:rPr>
          <w:rFonts w:ascii="Times New Roman" w:hAnsi="Times New Roman" w:cs="Times New Roman"/>
          <w:sz w:val="28"/>
          <w:szCs w:val="28"/>
        </w:rPr>
        <w:t>покупательской способности населения на фоне большого объема предложения.</w:t>
      </w:r>
    </w:p>
    <w:p w:rsidR="0036316B" w:rsidRDefault="0036316B" w:rsidP="007513DA">
      <w:pPr>
        <w:pStyle w:val="Default"/>
        <w:ind w:right="-284"/>
        <w:jc w:val="center"/>
        <w:rPr>
          <w:b/>
          <w:bCs/>
        </w:rPr>
      </w:pPr>
    </w:p>
    <w:p w:rsidR="0036316B" w:rsidRDefault="0036316B" w:rsidP="006D3D30">
      <w:pPr>
        <w:pStyle w:val="Default"/>
        <w:jc w:val="center"/>
        <w:rPr>
          <w:b/>
          <w:bCs/>
        </w:rPr>
      </w:pPr>
    </w:p>
    <w:p w:rsidR="001F23D8" w:rsidRDefault="001F23D8" w:rsidP="006D3D30">
      <w:pPr>
        <w:pStyle w:val="Default"/>
        <w:jc w:val="center"/>
        <w:rPr>
          <w:b/>
          <w:bCs/>
        </w:rPr>
      </w:pPr>
    </w:p>
    <w:p w:rsidR="001F23D8" w:rsidRDefault="001F23D8" w:rsidP="006D3D30">
      <w:pPr>
        <w:pStyle w:val="Default"/>
        <w:jc w:val="center"/>
        <w:rPr>
          <w:b/>
          <w:bCs/>
        </w:rPr>
      </w:pPr>
    </w:p>
    <w:p w:rsidR="006D3D30" w:rsidRPr="006D3D30" w:rsidRDefault="006D3D30" w:rsidP="006D3D30">
      <w:pPr>
        <w:pStyle w:val="Default"/>
        <w:jc w:val="center"/>
        <w:rPr>
          <w:b/>
          <w:bCs/>
        </w:rPr>
      </w:pPr>
      <w:r w:rsidRPr="006D3D30">
        <w:rPr>
          <w:b/>
          <w:bCs/>
        </w:rPr>
        <w:t>ИНФРАСТРУКТУРА ОБЪЕКТОВ ТОРГОВЛИ</w:t>
      </w:r>
    </w:p>
    <w:p w:rsidR="00BE19A5" w:rsidRDefault="00BE19A5" w:rsidP="00BE19A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9A5" w:rsidRDefault="00BE19A5" w:rsidP="0079155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3D30" w:rsidRPr="006D3D30">
        <w:rPr>
          <w:rFonts w:ascii="Times New Roman" w:hAnsi="Times New Roman" w:cs="Times New Roman"/>
          <w:sz w:val="28"/>
          <w:szCs w:val="28"/>
        </w:rPr>
        <w:t xml:space="preserve">Важным показателем развития торговой отрасли является обеспеченность населения площадью торговых объектов на 1000 жителей.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Показатель норматив минимальной обеспеченности населения площадью торговых объектов, разработанный Правительством Ростовской области для поселений является стимулом  к развитию торговли. В соответствии с постановлением Правительства Ростовской области от 01.09.2016 № 619 для Семикаракорского городского поселения установлен норматив 124 торговых объекта местного значения по продаже продовольственных товаров и товаров смешанного ассортимента с площадью торгового объекта до 300 м² включительно. По состоянию на 01.01.2017 года на территории Семикаракорска такой норматив выполнен и составляет 127 торговых объектов. Данный показатель достигнут за счет открытия сетевых магазинов, площадью до  300 м², малоформатных магазинов, а также развития сети нестационарной торговли.</w:t>
      </w:r>
    </w:p>
    <w:p w:rsidR="001B1F80" w:rsidRDefault="001B1F80" w:rsidP="0079155D">
      <w:pPr>
        <w:spacing w:after="0" w:line="228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На территории Семикаракорска осуществляют торговую деятельность 382</w:t>
      </w:r>
      <w:r w:rsidRPr="00420116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20116">
        <w:rPr>
          <w:rFonts w:ascii="Times New Roman" w:eastAsia="Calibri" w:hAnsi="Times New Roman" w:cs="Times New Roman"/>
          <w:sz w:val="28"/>
          <w:szCs w:val="28"/>
        </w:rPr>
        <w:t xml:space="preserve"> розничной торговли</w:t>
      </w:r>
      <w:r>
        <w:rPr>
          <w:rFonts w:ascii="Times New Roman" w:eastAsia="Calibri" w:hAnsi="Times New Roman" w:cs="Times New Roman"/>
          <w:sz w:val="28"/>
          <w:szCs w:val="28"/>
        </w:rPr>
        <w:t>, торговой площадью 24635,7 м² (темп роста 108,2 % по сравнению с аналогичным периодом прошлого года),  их них:</w:t>
      </w:r>
    </w:p>
    <w:p w:rsidR="001B1F80" w:rsidRDefault="001B1F80" w:rsidP="0079155D">
      <w:pPr>
        <w:spacing w:after="0" w:line="228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супермаркеты- 3</w:t>
      </w:r>
    </w:p>
    <w:p w:rsidR="001B1F80" w:rsidRDefault="001B1F80" w:rsidP="0079155D">
      <w:pPr>
        <w:spacing w:after="0" w:line="228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специализированные непродовольственные - 124;</w:t>
      </w:r>
    </w:p>
    <w:p w:rsidR="001B1F80" w:rsidRDefault="001B1F80" w:rsidP="0079155D">
      <w:pPr>
        <w:spacing w:after="0" w:line="228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минимаркеты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- 81;</w:t>
      </w:r>
    </w:p>
    <w:p w:rsidR="001B1F80" w:rsidRDefault="001B1F80" w:rsidP="0079155D">
      <w:pPr>
        <w:spacing w:after="0" w:line="228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прочие магазины - 174;</w:t>
      </w:r>
    </w:p>
    <w:p w:rsidR="001B1F80" w:rsidRDefault="001B1F80" w:rsidP="0079155D">
      <w:pPr>
        <w:spacing w:after="0" w:line="228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аптеки и аптечные магазины- 14;</w:t>
      </w:r>
    </w:p>
    <w:p w:rsidR="001B1F80" w:rsidRDefault="001B1F80" w:rsidP="0079155D">
      <w:pPr>
        <w:spacing w:after="0" w:line="228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аптечные киоски и пункты - 5.</w:t>
      </w:r>
    </w:p>
    <w:p w:rsidR="001B1F80" w:rsidRDefault="001B1F80" w:rsidP="001B1F80">
      <w:pPr>
        <w:spacing w:after="0" w:line="228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торговой сети представлена продукци</w:t>
      </w:r>
      <w:r>
        <w:rPr>
          <w:rFonts w:ascii="Times New Roman" w:hAnsi="Times New Roman"/>
          <w:sz w:val="28"/>
          <w:szCs w:val="28"/>
        </w:rPr>
        <w:t xml:space="preserve">я местных производителей: </w:t>
      </w:r>
      <w:proofErr w:type="gramStart"/>
      <w:r>
        <w:rPr>
          <w:rFonts w:ascii="Times New Roman" w:hAnsi="Times New Roman"/>
          <w:sz w:val="28"/>
          <w:szCs w:val="28"/>
        </w:rPr>
        <w:t>ОАО «С</w:t>
      </w:r>
      <w:r>
        <w:rPr>
          <w:rFonts w:ascii="Times New Roman" w:eastAsia="Calibri" w:hAnsi="Times New Roman" w:cs="Times New Roman"/>
          <w:sz w:val="28"/>
          <w:szCs w:val="28"/>
        </w:rPr>
        <w:t>ыродельный завод «Семикаракорский»,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Хлебокомбинат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«Семикаракорский», ООО «Донской консервный завод»,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Семикаракорская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рыба».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Открылся новый цех по производству хлеба и хлебобулочных изделий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Вкуснохлебов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продукция которого представлена в новой нестационарной сети города.</w:t>
      </w:r>
    </w:p>
    <w:p w:rsidR="001B1F80" w:rsidRDefault="001B1F80" w:rsidP="001B1F80">
      <w:pPr>
        <w:spacing w:after="0" w:line="228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За последние два года введено в эксплуатацию 7 крупных торговых объектов, общей площадью 3031,0 м². Кроме того, завершено строительство двух торговых галерей ООО «Привоз» площадью 834,2 м², торгового комплекса «Центр обслуживания населения» площадью 339,9 м².</w:t>
      </w:r>
      <w:r w:rsidR="000612AB">
        <w:rPr>
          <w:rFonts w:ascii="Times New Roman" w:hAnsi="Times New Roman"/>
          <w:sz w:val="28"/>
          <w:szCs w:val="28"/>
        </w:rPr>
        <w:t xml:space="preserve"> </w:t>
      </w:r>
    </w:p>
    <w:p w:rsidR="001B1F80" w:rsidRDefault="001B1F80" w:rsidP="0079155D">
      <w:pPr>
        <w:spacing w:after="0" w:line="228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55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Конкуренция, борьба за покупателя является определяющим фактором в переоснащении торговых объектов, замене торгового оборудования, появлении магазинов разного формата, соответствующих современным требованиям.      </w:t>
      </w:r>
    </w:p>
    <w:p w:rsidR="001B1F80" w:rsidRDefault="001B1F80" w:rsidP="0079155D">
      <w:pPr>
        <w:spacing w:after="0" w:line="228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предприятиях розничной торговли продолжается активная работа по развитию современных форм торговли, внедрению самообслуживания, считывающих форм устрой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 штр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их – кодирования, автоматизированных систем учета товародвижения. </w:t>
      </w:r>
    </w:p>
    <w:p w:rsidR="001B1F80" w:rsidRDefault="001B1F80" w:rsidP="0079155D">
      <w:pPr>
        <w:spacing w:after="0" w:line="228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15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Увеличение торговых предприятий и соответственно рост торговых площадей за прошедший год позволили обеспечить устойчивый товарооборот, занятость населения, снабжение жителей качественной продукцией местных производителей достаточного ассортимента по доступным ценам.</w:t>
      </w:r>
    </w:p>
    <w:p w:rsidR="000612AB" w:rsidRDefault="000612AB" w:rsidP="000612AB">
      <w:pPr>
        <w:pStyle w:val="Default"/>
        <w:jc w:val="center"/>
        <w:rPr>
          <w:rFonts w:cstheme="minorBidi"/>
          <w:color w:val="auto"/>
          <w:sz w:val="28"/>
          <w:szCs w:val="28"/>
        </w:rPr>
      </w:pPr>
    </w:p>
    <w:p w:rsidR="000612AB" w:rsidRDefault="000612AB" w:rsidP="000612AB">
      <w:pPr>
        <w:pStyle w:val="Default"/>
        <w:jc w:val="center"/>
        <w:rPr>
          <w:rFonts w:cstheme="minorBidi"/>
          <w:color w:val="auto"/>
          <w:sz w:val="28"/>
          <w:szCs w:val="28"/>
        </w:rPr>
      </w:pPr>
    </w:p>
    <w:p w:rsidR="000612AB" w:rsidRDefault="000612AB" w:rsidP="000612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МЕЛКОРОЗНИЧНАЯ ТОРГОВЛЯ</w:t>
      </w:r>
    </w:p>
    <w:p w:rsidR="000612AB" w:rsidRDefault="000612AB" w:rsidP="000612AB">
      <w:pPr>
        <w:pStyle w:val="Default"/>
        <w:jc w:val="center"/>
        <w:rPr>
          <w:sz w:val="28"/>
          <w:szCs w:val="28"/>
        </w:rPr>
      </w:pPr>
    </w:p>
    <w:p w:rsidR="000612AB" w:rsidRDefault="000612AB" w:rsidP="000612AB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Упорядочение размещения мелкорозничной торговой сети – одно из направлений улучшения качества торгового обслуживания. </w:t>
      </w:r>
    </w:p>
    <w:p w:rsidR="00813EA7" w:rsidRDefault="00400053" w:rsidP="0040005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612AB" w:rsidRPr="000612AB">
        <w:rPr>
          <w:rFonts w:ascii="Times New Roman" w:hAnsi="Times New Roman" w:cs="Times New Roman"/>
          <w:sz w:val="28"/>
          <w:szCs w:val="28"/>
        </w:rPr>
        <w:t>В порядке реализации требований Федерального закона от 28.12.200 № 381-ФЗ «Об основах государственного регулирования торговой деятельности в Российской Федерации»,</w:t>
      </w:r>
      <w:r w:rsidR="000612AB">
        <w:rPr>
          <w:sz w:val="28"/>
          <w:szCs w:val="28"/>
        </w:rPr>
        <w:t xml:space="preserve"> </w:t>
      </w:r>
      <w:r w:rsidR="000612AB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0612AB" w:rsidRPr="00AE6B4B">
        <w:rPr>
          <w:rFonts w:ascii="Times New Roman" w:eastAsia="Calibri" w:hAnsi="Times New Roman" w:cs="Times New Roman"/>
          <w:sz w:val="28"/>
          <w:szCs w:val="28"/>
        </w:rPr>
        <w:t>Правительства Ростовской области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  <w:r w:rsidR="000612AB">
        <w:rPr>
          <w:rFonts w:ascii="Times New Roman" w:eastAsia="Calibri" w:hAnsi="Times New Roman" w:cs="Times New Roman"/>
          <w:sz w:val="28"/>
          <w:szCs w:val="28"/>
        </w:rPr>
        <w:t xml:space="preserve"> разработана нормативная база, определяющая</w:t>
      </w:r>
      <w:proofErr w:type="gramEnd"/>
      <w:r w:rsidR="000612AB">
        <w:rPr>
          <w:rFonts w:ascii="Times New Roman" w:eastAsia="Calibri" w:hAnsi="Times New Roman" w:cs="Times New Roman"/>
          <w:sz w:val="28"/>
          <w:szCs w:val="28"/>
        </w:rPr>
        <w:t xml:space="preserve"> порядок размещения нестационарных торговых объектов на территории Семикаракорского городского поселения, разработаны предложения в схему размещения, предусмотрены дополнительные места, с учетом потребностей населения и доступности приобретения товаров различной направленности. В 2016 году заключено 26 договоров на размещение подобных объектов. </w:t>
      </w:r>
    </w:p>
    <w:p w:rsidR="000612AB" w:rsidRPr="00400053" w:rsidRDefault="00813EA7" w:rsidP="0040005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053">
        <w:rPr>
          <w:rFonts w:ascii="Times New Roman" w:eastAsia="Calibri" w:hAnsi="Times New Roman" w:cs="Times New Roman"/>
          <w:sz w:val="28"/>
          <w:szCs w:val="28"/>
        </w:rPr>
        <w:t>С</w:t>
      </w:r>
      <w:r w:rsidR="00400053">
        <w:rPr>
          <w:sz w:val="28"/>
          <w:szCs w:val="28"/>
        </w:rPr>
        <w:t xml:space="preserve"> </w:t>
      </w:r>
      <w:r w:rsidR="00400053" w:rsidRPr="00400053">
        <w:rPr>
          <w:rFonts w:ascii="Times New Roman" w:hAnsi="Times New Roman" w:cs="Times New Roman"/>
          <w:sz w:val="28"/>
          <w:szCs w:val="28"/>
        </w:rPr>
        <w:t>начала текущего года по результатам проведения торгов заключено 15 договоров о размещении нестационарных торговых объектов, в том числе 1 договор на размещение без проведения торгов, вследствие истечения срока договора аренды земельного участка.</w:t>
      </w:r>
      <w:r w:rsidR="00400053">
        <w:rPr>
          <w:rFonts w:ascii="Times New Roman" w:hAnsi="Times New Roman" w:cs="Times New Roman"/>
          <w:sz w:val="28"/>
          <w:szCs w:val="28"/>
        </w:rPr>
        <w:t xml:space="preserve"> </w:t>
      </w:r>
      <w:r w:rsidR="000612AB">
        <w:rPr>
          <w:rFonts w:ascii="Times New Roman" w:eastAsia="Calibri" w:hAnsi="Times New Roman" w:cs="Times New Roman"/>
          <w:sz w:val="28"/>
          <w:szCs w:val="28"/>
        </w:rPr>
        <w:t xml:space="preserve">Схема размещения нестационарных торговых объектов формируется с учетом принадлежности предпринимателей к разной специализации. </w:t>
      </w:r>
    </w:p>
    <w:p w:rsidR="001B1F80" w:rsidRDefault="000612AB" w:rsidP="000612AB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12AB">
        <w:rPr>
          <w:sz w:val="28"/>
          <w:szCs w:val="28"/>
        </w:rPr>
        <w:t>Размещение нестационарных объектов торговли на земельных участках находящихся в частной собственности, обуславливается спросом на потребительском рынке и осуществляется на основании решения собственника земельного участка, если это не противоречит нормам действующего законодательства.</w:t>
      </w:r>
    </w:p>
    <w:p w:rsidR="001F23D8" w:rsidRDefault="001F23D8" w:rsidP="000612AB">
      <w:pPr>
        <w:pStyle w:val="Default"/>
        <w:ind w:left="-426"/>
        <w:jc w:val="both"/>
        <w:rPr>
          <w:sz w:val="28"/>
          <w:szCs w:val="28"/>
        </w:rPr>
      </w:pPr>
    </w:p>
    <w:p w:rsidR="001F23D8" w:rsidRPr="001433FA" w:rsidRDefault="001F23D8" w:rsidP="001F23D8">
      <w:pPr>
        <w:pStyle w:val="Default"/>
        <w:jc w:val="center"/>
        <w:rPr>
          <w:b/>
          <w:bCs/>
        </w:rPr>
      </w:pPr>
      <w:r w:rsidRPr="001433FA">
        <w:rPr>
          <w:b/>
          <w:bCs/>
        </w:rPr>
        <w:t>ОБЩЕСТВЕННОЕ ПИТАНИЕ</w:t>
      </w:r>
    </w:p>
    <w:p w:rsidR="001F23D8" w:rsidRDefault="001F23D8" w:rsidP="001F23D8">
      <w:pPr>
        <w:pStyle w:val="Default"/>
        <w:jc w:val="center"/>
        <w:rPr>
          <w:sz w:val="28"/>
          <w:szCs w:val="28"/>
        </w:rPr>
      </w:pPr>
    </w:p>
    <w:p w:rsidR="001F23D8" w:rsidRDefault="001F23D8" w:rsidP="001F23D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F23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23D8">
        <w:rPr>
          <w:rFonts w:ascii="Times New Roman" w:hAnsi="Times New Roman" w:cs="Times New Roman"/>
          <w:sz w:val="28"/>
          <w:szCs w:val="28"/>
        </w:rPr>
        <w:t xml:space="preserve">Благодаря высокому потребительскому потенциалу города Семикаракорска, сфера услуг общественного питания является одной </w:t>
      </w:r>
      <w:proofErr w:type="gramStart"/>
      <w:r w:rsidRPr="001F23D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23D8">
        <w:rPr>
          <w:rFonts w:ascii="Times New Roman" w:hAnsi="Times New Roman" w:cs="Times New Roman"/>
          <w:sz w:val="28"/>
          <w:szCs w:val="28"/>
        </w:rPr>
        <w:t xml:space="preserve"> наиболее динамично развивающихся.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состоянию на 01.01.2017 </w:t>
      </w:r>
      <w:r w:rsidRPr="004C267B">
        <w:rPr>
          <w:rFonts w:ascii="Times New Roman" w:hAnsi="Times New Roman"/>
          <w:sz w:val="28"/>
          <w:szCs w:val="28"/>
        </w:rPr>
        <w:t xml:space="preserve">на территории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дислоцировано 42  предприятия общественного питания на 1550 посадочных мест, в том числе предприятий открытой сети – 33, из них: рестораны- 2, бары- 2, кафе- 8, закусочные- 15, столовые общедоступные- 1, прочие- 5.</w:t>
      </w:r>
    </w:p>
    <w:p w:rsidR="001F23D8" w:rsidRDefault="001F23D8" w:rsidP="001F23D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4549C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4549C">
        <w:rPr>
          <w:rFonts w:ascii="Times New Roman" w:hAnsi="Times New Roman"/>
          <w:color w:val="000000"/>
          <w:sz w:val="28"/>
          <w:szCs w:val="28"/>
        </w:rPr>
        <w:t>Семикаракорске</w:t>
      </w:r>
      <w:proofErr w:type="spellEnd"/>
      <w:r w:rsidRPr="0014549C">
        <w:rPr>
          <w:rFonts w:ascii="Times New Roman" w:hAnsi="Times New Roman"/>
          <w:color w:val="000000"/>
          <w:sz w:val="28"/>
          <w:szCs w:val="28"/>
        </w:rPr>
        <w:t xml:space="preserve"> количество предприятий общественного питания имеет устойчивую тенденцию роста. Структура предприятий общественного пит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4549C">
        <w:rPr>
          <w:rFonts w:ascii="Times New Roman" w:hAnsi="Times New Roman"/>
          <w:color w:val="000000"/>
          <w:sz w:val="28"/>
          <w:szCs w:val="28"/>
        </w:rPr>
        <w:t>ния неоднородна, в подавляющем большинстве функционируют закусочные, кафе, затем бары и рестораны.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Введены в эксплуатацию новые объекты: </w:t>
      </w:r>
      <w:proofErr w:type="spellStart"/>
      <w:r>
        <w:rPr>
          <w:rFonts w:ascii="Times New Roman" w:hAnsi="Times New Roman"/>
          <w:sz w:val="28"/>
          <w:szCs w:val="28"/>
        </w:rPr>
        <w:t>ресторанно-гостиничный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«Усадьба Юзефова» 930,4 м², ресторан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Sedvi</w:t>
      </w:r>
      <w:proofErr w:type="spellEnd"/>
      <w:r>
        <w:rPr>
          <w:rFonts w:ascii="Times New Roman" w:hAnsi="Times New Roman"/>
          <w:sz w:val="28"/>
          <w:szCs w:val="28"/>
        </w:rPr>
        <w:t xml:space="preserve">» 168,7 м²,  детское кафе «Акварель» площадью 220,0 м². </w:t>
      </w:r>
    </w:p>
    <w:p w:rsidR="001F23D8" w:rsidRDefault="001F23D8" w:rsidP="001F23D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4549C">
        <w:rPr>
          <w:rFonts w:ascii="Times New Roman" w:hAnsi="Times New Roman"/>
          <w:color w:val="000000"/>
          <w:sz w:val="28"/>
          <w:szCs w:val="28"/>
        </w:rPr>
        <w:t>Для повышения уровня конкурентоспособности каждое предприятие общественного питания заботится о культуре и качестве обслуживания.</w:t>
      </w:r>
      <w:r>
        <w:rPr>
          <w:rFonts w:ascii="Times New Roman" w:hAnsi="Times New Roman"/>
          <w:sz w:val="28"/>
          <w:szCs w:val="28"/>
        </w:rPr>
        <w:t xml:space="preserve"> Предлагаемые услуги становятся более разнообразными: доставка продукции на </w:t>
      </w:r>
      <w:r>
        <w:rPr>
          <w:rFonts w:ascii="Times New Roman" w:hAnsi="Times New Roman"/>
          <w:sz w:val="28"/>
          <w:szCs w:val="28"/>
        </w:rPr>
        <w:lastRenderedPageBreak/>
        <w:t>дом, производство кондитерских изделий, мастер-классы, участие в выездной торговле на праздничных мероприятиях, организация детских праздников с предоставлением развлекательных программ для детей и др.</w:t>
      </w:r>
    </w:p>
    <w:p w:rsidR="001F23D8" w:rsidRDefault="001F23D8" w:rsidP="001F23D8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4549C">
        <w:rPr>
          <w:rFonts w:ascii="Times New Roman" w:hAnsi="Times New Roman"/>
          <w:color w:val="000000"/>
          <w:sz w:val="28"/>
          <w:szCs w:val="28"/>
        </w:rPr>
        <w:t>Основными тенденциями развития общественного питания можно назвать применение безналичной оплаты, увеличение числа разных типов предприятий, широкую рекламу своих услуг через интернет путем разработки мобильных предложений.</w:t>
      </w:r>
    </w:p>
    <w:p w:rsidR="00624E80" w:rsidRDefault="00624E80" w:rsidP="00624E80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Возрождается традиция организации рационального питания рабочих предприятий, что является одним из важных факторов, влияющих на повышение производительности труда на производстве. Современная организация питания рабочих предусматривает наличие столовой, территориально связанной с предприятием, в результате чего обеспечивается прием пищи с наименьшими затратами времени, а также возможность сделать питание наиболее рациональным в соответствии с особенностями данного производства. </w:t>
      </w:r>
    </w:p>
    <w:p w:rsidR="00624E80" w:rsidRPr="00341D57" w:rsidRDefault="00341D57" w:rsidP="00624E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E80" w:rsidRPr="00341D57">
        <w:rPr>
          <w:rFonts w:ascii="Times New Roman" w:hAnsi="Times New Roman" w:cs="Times New Roman"/>
          <w:sz w:val="28"/>
          <w:szCs w:val="28"/>
        </w:rPr>
        <w:t xml:space="preserve">Услуги питания рабочим и служащим производственных предприятий оказывают 2 новых объекта </w:t>
      </w:r>
      <w:r w:rsidR="0049688A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624E80" w:rsidRPr="00341D57">
        <w:rPr>
          <w:rFonts w:ascii="Times New Roman" w:hAnsi="Times New Roman" w:cs="Times New Roman"/>
          <w:sz w:val="28"/>
          <w:szCs w:val="28"/>
        </w:rPr>
        <w:t xml:space="preserve"> на </w:t>
      </w:r>
      <w:r w:rsidRPr="00341D57">
        <w:rPr>
          <w:rFonts w:ascii="Times New Roman" w:hAnsi="Times New Roman" w:cs="Times New Roman"/>
          <w:sz w:val="28"/>
          <w:szCs w:val="28"/>
        </w:rPr>
        <w:t xml:space="preserve">105 </w:t>
      </w:r>
      <w:r w:rsidR="00624E80" w:rsidRPr="00341D57">
        <w:rPr>
          <w:rFonts w:ascii="Times New Roman" w:hAnsi="Times New Roman" w:cs="Times New Roman"/>
          <w:sz w:val="28"/>
          <w:szCs w:val="28"/>
        </w:rPr>
        <w:t>мест, в том числе столов</w:t>
      </w:r>
      <w:r w:rsidRPr="00341D57">
        <w:rPr>
          <w:rFonts w:ascii="Times New Roman" w:hAnsi="Times New Roman" w:cs="Times New Roman"/>
          <w:sz w:val="28"/>
          <w:szCs w:val="28"/>
        </w:rPr>
        <w:t xml:space="preserve">ая ОАО «Сыродельный завод </w:t>
      </w:r>
      <w:r w:rsidR="00624E80" w:rsidRPr="00341D57">
        <w:rPr>
          <w:rFonts w:ascii="Times New Roman" w:hAnsi="Times New Roman" w:cs="Times New Roman"/>
          <w:sz w:val="28"/>
          <w:szCs w:val="28"/>
        </w:rPr>
        <w:t xml:space="preserve"> </w:t>
      </w:r>
      <w:r w:rsidRPr="00341D57">
        <w:rPr>
          <w:rFonts w:ascii="Times New Roman" w:hAnsi="Times New Roman" w:cs="Times New Roman"/>
          <w:sz w:val="28"/>
          <w:szCs w:val="28"/>
        </w:rPr>
        <w:t xml:space="preserve">«Семикаракорский» на 70 мест и столовая «Смак» ИП </w:t>
      </w:r>
      <w:proofErr w:type="spellStart"/>
      <w:r w:rsidRPr="00341D57">
        <w:rPr>
          <w:rFonts w:ascii="Times New Roman" w:hAnsi="Times New Roman" w:cs="Times New Roman"/>
          <w:sz w:val="28"/>
          <w:szCs w:val="28"/>
        </w:rPr>
        <w:t>Процевский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F23D8" w:rsidRDefault="001F23D8" w:rsidP="001F23D8">
      <w:pPr>
        <w:pStyle w:val="Default"/>
        <w:ind w:left="-426"/>
        <w:jc w:val="both"/>
        <w:rPr>
          <w:color w:val="auto"/>
        </w:rPr>
      </w:pPr>
    </w:p>
    <w:p w:rsidR="006D3D30" w:rsidRDefault="00353937" w:rsidP="006D3D30">
      <w:pPr>
        <w:pStyle w:val="a4"/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3D30" w:rsidRPr="001433FA" w:rsidRDefault="001433FA" w:rsidP="001433FA">
      <w:pPr>
        <w:spacing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1433FA">
        <w:rPr>
          <w:rFonts w:ascii="Times New Roman" w:hAnsi="Times New Roman" w:cs="Times New Roman"/>
          <w:b/>
          <w:sz w:val="24"/>
          <w:szCs w:val="24"/>
        </w:rPr>
        <w:t>БЫТОВОЕ ОБСЛУЖИВАНИЕ</w:t>
      </w:r>
    </w:p>
    <w:p w:rsidR="001433FA" w:rsidRPr="00F52E87" w:rsidRDefault="001433FA" w:rsidP="001433FA">
      <w:pPr>
        <w:spacing w:after="0" w:line="240" w:lineRule="auto"/>
        <w:ind w:left="-426" w:firstLine="143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5557F7">
        <w:rPr>
          <w:rFonts w:ascii="Times New Roman" w:hAnsi="Times New Roman"/>
          <w:sz w:val="28"/>
          <w:szCs w:val="28"/>
          <w:lang w:eastAsia="ru-RU"/>
        </w:rPr>
        <w:t xml:space="preserve">Бытовое обслуживание населения является важным звеном в системе отраслей платных услуг. </w:t>
      </w:r>
      <w:r>
        <w:rPr>
          <w:rFonts w:ascii="Times New Roman" w:hAnsi="Times New Roman"/>
          <w:sz w:val="28"/>
          <w:szCs w:val="28"/>
        </w:rPr>
        <w:t>По состоянию на 01.01.2017 дислоцировано 110 предприятий бытового обслуживания.</w:t>
      </w:r>
    </w:p>
    <w:p w:rsidR="001433FA" w:rsidRDefault="001433FA" w:rsidP="001433FA">
      <w:pPr>
        <w:spacing w:after="0" w:line="240" w:lineRule="auto"/>
        <w:ind w:left="-426" w:firstLine="143"/>
        <w:jc w:val="both"/>
        <w:rPr>
          <w:rFonts w:ascii="Times New Roman" w:hAnsi="Times New Roman"/>
          <w:sz w:val="28"/>
          <w:szCs w:val="28"/>
        </w:rPr>
      </w:pPr>
    </w:p>
    <w:p w:rsidR="001433FA" w:rsidRDefault="001433FA" w:rsidP="001433F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2827020"/>
            <wp:effectExtent l="19050" t="0" r="1905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33FA" w:rsidRDefault="001433FA" w:rsidP="001433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33FA" w:rsidRDefault="001433FA" w:rsidP="001433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52E87">
        <w:rPr>
          <w:rFonts w:ascii="Times New Roman" w:hAnsi="Times New Roman"/>
          <w:sz w:val="24"/>
          <w:szCs w:val="24"/>
        </w:rPr>
        <w:t>Таблица 1.</w:t>
      </w:r>
      <w:r>
        <w:rPr>
          <w:rFonts w:ascii="Times New Roman" w:hAnsi="Times New Roman"/>
          <w:sz w:val="24"/>
          <w:szCs w:val="24"/>
        </w:rPr>
        <w:t xml:space="preserve"> Структура хозяйствующих субъектов</w:t>
      </w:r>
    </w:p>
    <w:p w:rsidR="001433FA" w:rsidRPr="00F52E87" w:rsidRDefault="001433FA" w:rsidP="001433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бытового обслуживания по направлениям</w:t>
      </w:r>
    </w:p>
    <w:p w:rsidR="001433FA" w:rsidRDefault="001433FA" w:rsidP="001433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433FA" w:rsidRDefault="001433FA" w:rsidP="001433F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Количество предприятий, оказывающих населению бытовые услуги, постепенно увеличивается, повышается культура обслуживания. </w:t>
      </w:r>
    </w:p>
    <w:p w:rsidR="001433FA" w:rsidRPr="008814CD" w:rsidRDefault="001433FA" w:rsidP="001433F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Pr="008814CD">
        <w:rPr>
          <w:rFonts w:ascii="Times New Roman" w:hAnsi="Times New Roman"/>
          <w:sz w:val="28"/>
          <w:szCs w:val="28"/>
          <w:lang w:eastAsia="ru-RU"/>
        </w:rPr>
        <w:t>Анализ тенденций развития сферы бытового обслуживания показал, что наиболее активно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8814CD">
        <w:rPr>
          <w:rFonts w:ascii="Times New Roman" w:hAnsi="Times New Roman"/>
          <w:sz w:val="28"/>
          <w:szCs w:val="28"/>
          <w:lang w:eastAsia="ru-RU"/>
        </w:rPr>
        <w:t>азвивается сеть предприятий, оказывающих парикмахерские услуги. Постоянно развивается и меняется сеть предприятий по техническому обслуживанию и ремонту автотранспортных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33FA" w:rsidRDefault="001433FA" w:rsidP="001433F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сфере бытового обслуживания отслеживается более 15 видов услуг. В 2016 году  произошло увеличение услуг по видам: «ремонт автотранспортных средств»,  «парикмахерские и косметические услуги», «прочие услуги непроизводственного характера».</w:t>
      </w:r>
    </w:p>
    <w:p w:rsidR="001433FA" w:rsidRPr="008814CD" w:rsidRDefault="001433FA" w:rsidP="001433FA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Предприятия бытового обслуживания работают стабильно, оплачивают текущие налоги, проводят обновление технической базы для повышения оказываемых услуг и работают в направлении повышения профессиональной квалификации персонала. </w:t>
      </w:r>
      <w:r w:rsidRPr="008457C4">
        <w:rPr>
          <w:rFonts w:ascii="Times New Roman" w:hAnsi="Times New Roman"/>
          <w:sz w:val="28"/>
          <w:szCs w:val="28"/>
        </w:rPr>
        <w:t>У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величивается количество предприятий, предлагающих более разнообразную систему льгот и скидок для потребителей, в том числе для пенсионеров и ветеранов. </w:t>
      </w:r>
      <w:r w:rsidRPr="008814CD">
        <w:rPr>
          <w:rFonts w:ascii="Times New Roman" w:hAnsi="Times New Roman"/>
          <w:sz w:val="28"/>
          <w:szCs w:val="28"/>
          <w:lang w:eastAsia="ru-RU"/>
        </w:rPr>
        <w:t>Бытовое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обслуживание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населения</w:t>
      </w:r>
      <w:r>
        <w:rPr>
          <w:rFonts w:ascii="Times New Roman" w:hAnsi="Times New Roman"/>
          <w:sz w:val="28"/>
          <w:szCs w:val="28"/>
          <w:lang w:eastAsia="ru-RU"/>
        </w:rPr>
        <w:t>, как самостоятельная отрасль,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с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каждым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годом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всё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увереннее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занимает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одну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из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лидирующих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позиций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в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>сфере</w:t>
      </w:r>
      <w:r w:rsidRPr="008457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CD">
        <w:rPr>
          <w:rFonts w:ascii="Times New Roman" w:hAnsi="Times New Roman"/>
          <w:sz w:val="28"/>
          <w:szCs w:val="28"/>
          <w:lang w:eastAsia="ru-RU"/>
        </w:rPr>
        <w:t xml:space="preserve">услуг. </w:t>
      </w:r>
    </w:p>
    <w:p w:rsidR="001433FA" w:rsidRPr="00647C95" w:rsidRDefault="001433FA" w:rsidP="001433FA">
      <w:pPr>
        <w:spacing w:after="0" w:line="240" w:lineRule="auto"/>
        <w:ind w:left="-284" w:firstLine="567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6D3D30" w:rsidRDefault="006D3D30" w:rsidP="001433FA">
      <w:pPr>
        <w:pStyle w:val="a4"/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D3D30" w:rsidRDefault="006D3D30" w:rsidP="001433FA">
      <w:pPr>
        <w:pStyle w:val="a4"/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D3D30" w:rsidRDefault="006D3D30" w:rsidP="001433FA">
      <w:pPr>
        <w:pStyle w:val="a4"/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D3D30" w:rsidRDefault="006D3D30" w:rsidP="006D3D30">
      <w:pPr>
        <w:pStyle w:val="a4"/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6D3D30" w:rsidSect="00BE19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22B"/>
    <w:multiLevelType w:val="hybridMultilevel"/>
    <w:tmpl w:val="66EE2D12"/>
    <w:lvl w:ilvl="0" w:tplc="995E4D56">
      <w:start w:val="2017"/>
      <w:numFmt w:val="bullet"/>
      <w:lvlText w:val=""/>
      <w:lvlJc w:val="left"/>
      <w:pPr>
        <w:ind w:left="3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28F86039"/>
    <w:multiLevelType w:val="hybridMultilevel"/>
    <w:tmpl w:val="84DA4708"/>
    <w:lvl w:ilvl="0" w:tplc="72F49B5C">
      <w:start w:val="2017"/>
      <w:numFmt w:val="bullet"/>
      <w:lvlText w:val=""/>
      <w:lvlJc w:val="left"/>
      <w:pPr>
        <w:ind w:left="3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4DD6607D"/>
    <w:multiLevelType w:val="hybridMultilevel"/>
    <w:tmpl w:val="CCA45AF8"/>
    <w:lvl w:ilvl="0" w:tplc="65061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0D2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24D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458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11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A30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A43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4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287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26"/>
    <w:rsid w:val="0002009F"/>
    <w:rsid w:val="00030610"/>
    <w:rsid w:val="000612AB"/>
    <w:rsid w:val="0012108D"/>
    <w:rsid w:val="00123E26"/>
    <w:rsid w:val="0013720C"/>
    <w:rsid w:val="001433FA"/>
    <w:rsid w:val="001B1F80"/>
    <w:rsid w:val="001C3628"/>
    <w:rsid w:val="001F23D8"/>
    <w:rsid w:val="00210169"/>
    <w:rsid w:val="00291CAE"/>
    <w:rsid w:val="002A462D"/>
    <w:rsid w:val="0033081C"/>
    <w:rsid w:val="00335428"/>
    <w:rsid w:val="00341D57"/>
    <w:rsid w:val="00353937"/>
    <w:rsid w:val="0036316B"/>
    <w:rsid w:val="003C25A5"/>
    <w:rsid w:val="003D64D0"/>
    <w:rsid w:val="00400053"/>
    <w:rsid w:val="0049688A"/>
    <w:rsid w:val="00586F61"/>
    <w:rsid w:val="005D5915"/>
    <w:rsid w:val="00624E80"/>
    <w:rsid w:val="006C6377"/>
    <w:rsid w:val="006D3D30"/>
    <w:rsid w:val="00731F31"/>
    <w:rsid w:val="007513DA"/>
    <w:rsid w:val="00751DD1"/>
    <w:rsid w:val="0079155D"/>
    <w:rsid w:val="00795548"/>
    <w:rsid w:val="007962F5"/>
    <w:rsid w:val="007B2E6F"/>
    <w:rsid w:val="008105B7"/>
    <w:rsid w:val="00813EA7"/>
    <w:rsid w:val="0081602A"/>
    <w:rsid w:val="00887A91"/>
    <w:rsid w:val="00896A24"/>
    <w:rsid w:val="0089772A"/>
    <w:rsid w:val="009559C0"/>
    <w:rsid w:val="00973DA0"/>
    <w:rsid w:val="009F670F"/>
    <w:rsid w:val="00A051D7"/>
    <w:rsid w:val="00A13B24"/>
    <w:rsid w:val="00A772FC"/>
    <w:rsid w:val="00AE0F62"/>
    <w:rsid w:val="00B24D38"/>
    <w:rsid w:val="00B928C3"/>
    <w:rsid w:val="00BA7865"/>
    <w:rsid w:val="00BE19A5"/>
    <w:rsid w:val="00BE6DD7"/>
    <w:rsid w:val="00C044F4"/>
    <w:rsid w:val="00C50A12"/>
    <w:rsid w:val="00C751CC"/>
    <w:rsid w:val="00CD28A5"/>
    <w:rsid w:val="00E67950"/>
    <w:rsid w:val="00E825F8"/>
    <w:rsid w:val="00EE42F7"/>
    <w:rsid w:val="00F0288D"/>
    <w:rsid w:val="00F26153"/>
    <w:rsid w:val="00F838B5"/>
    <w:rsid w:val="00F85A36"/>
    <w:rsid w:val="00FB2911"/>
    <w:rsid w:val="00FC6AF2"/>
    <w:rsid w:val="00FD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4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2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6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9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1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6;&#1080;&#1072;&#1075;&#1088;&#1072;&#1084;&#1084;&#1072;%20&#1073;&#1099;&#1090;&#1086;&#1074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solidFill>
                  <a:schemeClr val="accent1">
                    <a:lumMod val="75000"/>
                  </a:schemeClr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100" dirty="0" smtClean="0">
                <a:solidFill>
                  <a:schemeClr val="accent1">
                    <a:lumMod val="75000"/>
                  </a:schemeClr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100" dirty="0" smtClean="0">
                <a:solidFill>
                  <a:srgbClr val="0B5993"/>
                </a:solidFill>
                <a:latin typeface="Arial" pitchFamily="34" charset="0"/>
                <a:cs typeface="Arial" pitchFamily="34" charset="0"/>
              </a:rPr>
              <a:t>Структура малого бизнеса</a:t>
            </a:r>
            <a:endParaRPr lang="ru-RU" sz="1100" dirty="0">
              <a:solidFill>
                <a:srgbClr val="0B5993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8911703184155402"/>
          <c:y val="4.225174265211632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5336651448776309"/>
          <c:y val="9.0805181610363259E-5"/>
          <c:w val="0.67623997249100198"/>
          <c:h val="0.66473344910436061"/>
        </c:manualLayout>
      </c:layout>
      <c:pie3DChart>
        <c:varyColors val="1"/>
        <c:ser>
          <c:idx val="1"/>
          <c:order val="1"/>
          <c:dLbls>
            <c:showPercent val="1"/>
          </c:dLbls>
          <c:cat>
            <c:strRef>
              <c:f>Лист1!$B$5:$B$14</c:f>
              <c:strCache>
                <c:ptCount val="10"/>
                <c:pt idx="0">
                  <c:v>сельское хозяйство</c:v>
                </c:pt>
                <c:pt idx="1">
                  <c:v>рыболовство, рыбоводство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оптовая и розничная торговля</c:v>
                </c:pt>
                <c:pt idx="5">
                  <c:v>гостиницы и рестораны</c:v>
                </c:pt>
                <c:pt idx="6">
                  <c:v>транспорт и связь</c:v>
                </c:pt>
                <c:pt idx="7">
                  <c:v>операции с недвижимым имуществом</c:v>
                </c:pt>
                <c:pt idx="8">
                  <c:v>здравоохранение и предоставление социальных услуг</c:v>
                </c:pt>
                <c:pt idx="9">
                  <c:v>прочие </c:v>
                </c:pt>
              </c:strCache>
            </c:strRef>
          </c:cat>
          <c:val>
            <c:numRef>
              <c:f>Лист1!$C$5:$C$14</c:f>
              <c:numCache>
                <c:formatCode>General</c:formatCode>
                <c:ptCount val="10"/>
                <c:pt idx="0">
                  <c:v>3</c:v>
                </c:pt>
                <c:pt idx="1">
                  <c:v>1.5</c:v>
                </c:pt>
                <c:pt idx="2">
                  <c:v>12.1</c:v>
                </c:pt>
                <c:pt idx="3">
                  <c:v>9.1</c:v>
                </c:pt>
                <c:pt idx="4">
                  <c:v>34.800000000000004</c:v>
                </c:pt>
                <c:pt idx="5">
                  <c:v>3</c:v>
                </c:pt>
                <c:pt idx="6">
                  <c:v>4.5</c:v>
                </c:pt>
                <c:pt idx="7">
                  <c:v>21</c:v>
                </c:pt>
                <c:pt idx="8">
                  <c:v>6</c:v>
                </c:pt>
                <c:pt idx="9">
                  <c:v>5</c:v>
                </c:pt>
              </c:numCache>
            </c:numRef>
          </c:val>
        </c:ser>
        <c:ser>
          <c:idx val="0"/>
          <c:order val="0"/>
          <c:dLbls>
            <c:showPercent val="1"/>
          </c:dLbls>
          <c:cat>
            <c:strRef>
              <c:f>Лист1!$B$5:$B$14</c:f>
              <c:strCache>
                <c:ptCount val="10"/>
                <c:pt idx="0">
                  <c:v>сельское хозяйство</c:v>
                </c:pt>
                <c:pt idx="1">
                  <c:v>рыболовство, рыбоводство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оптовая и розничная торговля</c:v>
                </c:pt>
                <c:pt idx="5">
                  <c:v>гостиницы и рестораны</c:v>
                </c:pt>
                <c:pt idx="6">
                  <c:v>транспорт и связь</c:v>
                </c:pt>
                <c:pt idx="7">
                  <c:v>операции с недвижимым имуществом</c:v>
                </c:pt>
                <c:pt idx="8">
                  <c:v>здравоохранение и предоставление социальных услуг</c:v>
                </c:pt>
                <c:pt idx="9">
                  <c:v>прочие </c:v>
                </c:pt>
              </c:strCache>
            </c:strRef>
          </c:cat>
          <c:val>
            <c:numRef>
              <c:f>Лист1!$C$5:$C$14</c:f>
              <c:numCache>
                <c:formatCode>General</c:formatCode>
                <c:ptCount val="10"/>
                <c:pt idx="0">
                  <c:v>3</c:v>
                </c:pt>
                <c:pt idx="1">
                  <c:v>1.5</c:v>
                </c:pt>
                <c:pt idx="2">
                  <c:v>12.1</c:v>
                </c:pt>
                <c:pt idx="3">
                  <c:v>9.1</c:v>
                </c:pt>
                <c:pt idx="4">
                  <c:v>34.800000000000004</c:v>
                </c:pt>
                <c:pt idx="5">
                  <c:v>3</c:v>
                </c:pt>
                <c:pt idx="6">
                  <c:v>4.5</c:v>
                </c:pt>
                <c:pt idx="7">
                  <c:v>21</c:v>
                </c:pt>
                <c:pt idx="8">
                  <c:v>6</c:v>
                </c:pt>
                <c:pt idx="9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 sz="1050">
                <a:solidFill>
                  <a:srgbClr val="0B5993"/>
                </a:solidFill>
                <a:latin typeface="+mj-lt"/>
              </a:defRPr>
            </a:pPr>
            <a:endParaRPr lang="ru-RU"/>
          </a:p>
        </c:txPr>
      </c:legendEntry>
      <c:layout>
        <c:manualLayout>
          <c:xMode val="edge"/>
          <c:yMode val="edge"/>
          <c:x val="7.2840521800446756E-2"/>
          <c:y val="0.59421799050043167"/>
          <c:w val="0.89487013750146926"/>
          <c:h val="0.40578200949956822"/>
        </c:manualLayout>
      </c:layout>
      <c:txPr>
        <a:bodyPr/>
        <a:lstStyle/>
        <a:p>
          <a:pPr>
            <a:defRPr sz="1050">
              <a:solidFill>
                <a:srgbClr val="0B5993"/>
              </a:solidFill>
              <a:latin typeface="+mj-lt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9109004059380043E-2"/>
          <c:y val="0.26719530178033579"/>
          <c:w val="0.41217856208488518"/>
          <c:h val="0.55910180424843992"/>
        </c:manualLayout>
      </c:layout>
      <c:pie3DChart>
        <c:varyColors val="1"/>
        <c:ser>
          <c:idx val="0"/>
          <c:order val="0"/>
          <c:dLbls>
            <c:showPercent val="1"/>
          </c:dLbls>
          <c:cat>
            <c:strRef>
              <c:f>'[диаграмма бытовка.xlsx]Лист1'!$B$6:$B$14</c:f>
              <c:strCache>
                <c:ptCount val="9"/>
                <c:pt idx="0">
                  <c:v>ремонт и пошив обуви</c:v>
                </c:pt>
                <c:pt idx="1">
                  <c:v>ремонт и пошив швейных изделий</c:v>
                </c:pt>
                <c:pt idx="2">
                  <c:v>ремонт и техническое обслуживание бытовой техники, изготовление металлоизделий</c:v>
                </c:pt>
                <c:pt idx="3">
                  <c:v>ремонт и изготовление мебели</c:v>
                </c:pt>
                <c:pt idx="4">
                  <c:v>ремонт и техническое обслуживание автотранспортных средств</c:v>
                </c:pt>
                <c:pt idx="5">
                  <c:v>услуги парикмахерских</c:v>
                </c:pt>
                <c:pt idx="6">
                  <c:v>услуги фото</c:v>
                </c:pt>
                <c:pt idx="7">
                  <c:v>ритуальные услуги</c:v>
                </c:pt>
                <c:pt idx="8">
                  <c:v>прочие услуги производственного и непроизводственного характера</c:v>
                </c:pt>
              </c:strCache>
            </c:strRef>
          </c:cat>
          <c:val>
            <c:numRef>
              <c:f>'[диаграмма бытовка.xlsx]Лист1'!$C$6:$C$14</c:f>
              <c:numCache>
                <c:formatCode>General</c:formatCode>
                <c:ptCount val="9"/>
                <c:pt idx="0">
                  <c:v>4.5</c:v>
                </c:pt>
                <c:pt idx="1">
                  <c:v>6.7</c:v>
                </c:pt>
                <c:pt idx="2">
                  <c:v>11.8</c:v>
                </c:pt>
                <c:pt idx="3">
                  <c:v>1.8</c:v>
                </c:pt>
                <c:pt idx="4">
                  <c:v>20.9</c:v>
                </c:pt>
                <c:pt idx="5">
                  <c:v>30.9</c:v>
                </c:pt>
                <c:pt idx="6">
                  <c:v>3.6</c:v>
                </c:pt>
                <c:pt idx="7">
                  <c:v>4.5</c:v>
                </c:pt>
                <c:pt idx="8">
                  <c:v>15.5</c:v>
                </c:pt>
              </c:numCache>
            </c:numRef>
          </c:val>
        </c:ser>
        <c:ser>
          <c:idx val="1"/>
          <c:order val="1"/>
          <c:dLbls>
            <c:showPercent val="1"/>
          </c:dLbls>
          <c:cat>
            <c:strRef>
              <c:f>'[диаграмма бытовка.xlsx]Лист1'!$B$4</c:f>
              <c:strCache>
                <c:ptCount val="1"/>
                <c:pt idx="0">
                  <c:v>Структура хозяйствующих субъектов бытового обслуживания по направлениям</c:v>
                </c:pt>
              </c:strCache>
            </c:strRef>
          </c:cat>
          <c:val>
            <c:numRef>
              <c:f>'[диаграмма бытовка.xlsx]Лист1'!$C$4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dLbls>
            <c:showPercent val="1"/>
          </c:dLbls>
          <c:cat>
            <c:strRef>
              <c:f>'[диаграмма бытовка.xlsx]Лист1'!$B$4</c:f>
              <c:strCache>
                <c:ptCount val="1"/>
                <c:pt idx="0">
                  <c:v>Структура хозяйствующих субъектов бытового обслуживания по направлениям</c:v>
                </c:pt>
              </c:strCache>
            </c:strRef>
          </c:cat>
          <c:val>
            <c:numRef>
              <c:f>'[диаграмма бытовка.xlsx]Лист1'!$D$4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dLbls>
            <c:showPercent val="1"/>
          </c:dLbls>
          <c:cat>
            <c:strRef>
              <c:f>'[диаграмма бытовка.xlsx]Лист1'!$B$4</c:f>
              <c:strCache>
                <c:ptCount val="1"/>
                <c:pt idx="0">
                  <c:v>Структура хозяйствующих субъектов бытового обслуживания по направлениям</c:v>
                </c:pt>
              </c:strCache>
            </c:strRef>
          </c:cat>
          <c:val>
            <c:numRef>
              <c:f>'[диаграмма бытовка.xlsx]Лист1'!$E$4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dLbls>
            <c:showPercent val="1"/>
          </c:dLbls>
          <c:cat>
            <c:strRef>
              <c:f>'[диаграмма бытовка.xlsx]Лист1'!$B$4</c:f>
              <c:strCache>
                <c:ptCount val="1"/>
                <c:pt idx="0">
                  <c:v>Структура хозяйствующих субъектов бытового обслуживания по направлениям</c:v>
                </c:pt>
              </c:strCache>
            </c:strRef>
          </c:cat>
          <c:val>
            <c:numRef>
              <c:f>'[диаграмма бытовка.xlsx]Лист1'!$F$4</c:f>
              <c:numCache>
                <c:formatCode>General</c:formatCode>
                <c:ptCount val="1"/>
              </c:numCache>
            </c:numRef>
          </c:val>
        </c:ser>
        <c:ser>
          <c:idx val="5"/>
          <c:order val="5"/>
          <c:dLbls>
            <c:showPercent val="1"/>
          </c:dLbls>
          <c:cat>
            <c:strRef>
              <c:f>'[диаграмма бытовка.xlsx]Лист1'!$B$4</c:f>
              <c:strCache>
                <c:ptCount val="1"/>
                <c:pt idx="0">
                  <c:v>Структура хозяйствующих субъектов бытового обслуживания по направлениям</c:v>
                </c:pt>
              </c:strCache>
            </c:strRef>
          </c:cat>
          <c:val>
            <c:numRef>
              <c:f>'[диаграмма бытовка.xlsx]Лист1'!$G$4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dLbls>
            <c:showPercent val="1"/>
          </c:dLbls>
          <c:cat>
            <c:strRef>
              <c:f>'[диаграмма бытовка.xlsx]Лист1'!$B$4</c:f>
              <c:strCache>
                <c:ptCount val="1"/>
                <c:pt idx="0">
                  <c:v>Структура хозяйствующих субъектов бытового обслуживания по направлениям</c:v>
                </c:pt>
              </c:strCache>
            </c:strRef>
          </c:cat>
          <c:val>
            <c:numRef>
              <c:f>'[диаграмма бытовка.xlsx]Лист1'!$H$4</c:f>
              <c:numCache>
                <c:formatCode>General</c:formatCode>
                <c:ptCount val="1"/>
              </c:numCache>
            </c:numRef>
          </c:val>
        </c:ser>
        <c:ser>
          <c:idx val="7"/>
          <c:order val="7"/>
          <c:dLbls>
            <c:showPercent val="1"/>
          </c:dLbls>
          <c:cat>
            <c:strRef>
              <c:f>'[диаграмма бытовка.xlsx]Лист1'!$B$4</c:f>
              <c:strCache>
                <c:ptCount val="1"/>
                <c:pt idx="0">
                  <c:v>Структура хозяйствующих субъектов бытового обслуживания по направлениям</c:v>
                </c:pt>
              </c:strCache>
            </c:strRef>
          </c:cat>
          <c:val>
            <c:numRef>
              <c:f>'[диаграмма бытовка.xlsx]Лист1'!$I$4</c:f>
              <c:numCache>
                <c:formatCode>General</c:formatCode>
                <c:ptCount val="1"/>
              </c:numCache>
            </c:numRef>
          </c:val>
        </c:ser>
        <c:ser>
          <c:idx val="8"/>
          <c:order val="8"/>
          <c:dLbls>
            <c:showPercent val="1"/>
          </c:dLbls>
          <c:cat>
            <c:strRef>
              <c:f>'[диаграмма бытовка.xlsx]Лист1'!$B$4</c:f>
              <c:strCache>
                <c:ptCount val="1"/>
                <c:pt idx="0">
                  <c:v>Структура хозяйствующих субъектов бытового обслуживания по направлениям</c:v>
                </c:pt>
              </c:strCache>
            </c:strRef>
          </c:cat>
          <c:val>
            <c:numRef>
              <c:f>'[диаграмма бытовка.xlsx]Лист1'!$J$4</c:f>
              <c:numCache>
                <c:formatCode>General</c:formatCode>
                <c:ptCount val="1"/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4434492915073718"/>
          <c:y val="2.1282556026650551E-2"/>
          <c:w val="0.4502960140432607"/>
          <c:h val="0.9787174439733497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2017-11-22T10:52:00Z</dcterms:created>
  <dcterms:modified xsi:type="dcterms:W3CDTF">2017-11-22T10:52:00Z</dcterms:modified>
</cp:coreProperties>
</file>