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1F" w:rsidRPr="00B55C1B" w:rsidRDefault="003C4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ПРАВИТЕЛЬСТВО РОСТОВСКОЙ ОБЛАСТИ</w:t>
      </w:r>
    </w:p>
    <w:p w:rsidR="003C4E1F" w:rsidRPr="00B55C1B" w:rsidRDefault="003C4E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C4E1F" w:rsidRPr="00B55C1B" w:rsidRDefault="003C4E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от 23 мая 2012 г. N 436</w:t>
      </w:r>
    </w:p>
    <w:p w:rsidR="003C4E1F" w:rsidRPr="00B55C1B" w:rsidRDefault="003C4E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</w:t>
      </w:r>
    </w:p>
    <w:p w:rsidR="003C4E1F" w:rsidRPr="00B55C1B" w:rsidRDefault="003C4E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НА ВОДНЫХ ОБЪЕКТАХ В РОСТОВСКОЙ ОБЛАСТИ</w:t>
      </w: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5C1B">
        <w:rPr>
          <w:rFonts w:ascii="Times New Roman" w:hAnsi="Times New Roman" w:cs="Times New Roman"/>
          <w:sz w:val="24"/>
          <w:szCs w:val="24"/>
        </w:rPr>
        <w:t>(в ред. постановлений Правительства РО</w:t>
      </w:r>
      <w:proofErr w:type="gramEnd"/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от 06.09.2012 </w:t>
      </w:r>
      <w:hyperlink r:id="rId5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N 876</w:t>
        </w:r>
      </w:hyperlink>
      <w:r w:rsidRPr="00B55C1B">
        <w:rPr>
          <w:rFonts w:ascii="Times New Roman" w:hAnsi="Times New Roman" w:cs="Times New Roman"/>
          <w:sz w:val="24"/>
          <w:szCs w:val="24"/>
        </w:rPr>
        <w:t xml:space="preserve">, от 17.10.2013 </w:t>
      </w:r>
      <w:hyperlink r:id="rId6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N 646</w:t>
        </w:r>
      </w:hyperlink>
      <w:r w:rsidRPr="00B55C1B">
        <w:rPr>
          <w:rFonts w:ascii="Times New Roman" w:hAnsi="Times New Roman" w:cs="Times New Roman"/>
          <w:sz w:val="24"/>
          <w:szCs w:val="24"/>
        </w:rPr>
        <w:t>,</w:t>
      </w: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от 14.02.2014 </w:t>
      </w:r>
      <w:hyperlink r:id="rId7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N 97</w:t>
        </w:r>
      </w:hyperlink>
      <w:r w:rsidRPr="00B55C1B">
        <w:rPr>
          <w:rFonts w:ascii="Times New Roman" w:hAnsi="Times New Roman" w:cs="Times New Roman"/>
          <w:sz w:val="24"/>
          <w:szCs w:val="24"/>
        </w:rPr>
        <w:t>)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C1B">
        <w:rPr>
          <w:rFonts w:ascii="Times New Roman" w:hAnsi="Times New Roman" w:cs="Times New Roman"/>
          <w:sz w:val="24"/>
          <w:szCs w:val="24"/>
        </w:rPr>
        <w:t xml:space="preserve">В соответствии с Водным </w:t>
      </w:r>
      <w:hyperlink r:id="rId8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55C1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55C1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14.12.2006 N 769 "О порядке утверждения правил охраны жизни людей на водных объектах", Областным </w:t>
      </w:r>
      <w:hyperlink r:id="rId10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55C1B">
        <w:rPr>
          <w:rFonts w:ascii="Times New Roman" w:hAnsi="Times New Roman" w:cs="Times New Roman"/>
          <w:sz w:val="24"/>
          <w:szCs w:val="24"/>
        </w:rPr>
        <w:t xml:space="preserve"> от 29.03.2007 N 674-ЗС "О полномочиях органов государственной власти Ростовской области в сфере водных отношений", в целях реализации полномочий областных органов исполнительной власти в области водных отношений и для обеспечения безопасности людей во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 xml:space="preserve"> внутренних </w:t>
      </w:r>
      <w:proofErr w:type="gramStart"/>
      <w:r w:rsidRPr="00B55C1B">
        <w:rPr>
          <w:rFonts w:ascii="Times New Roman" w:hAnsi="Times New Roman" w:cs="Times New Roman"/>
          <w:sz w:val="24"/>
          <w:szCs w:val="24"/>
        </w:rPr>
        <w:t>водах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 xml:space="preserve"> и в территориальном море Российской Федерации в границах Ростовской области Правительство Ростовской области постановляет: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B55C1B">
        <w:rPr>
          <w:rFonts w:ascii="Times New Roman" w:hAnsi="Times New Roman" w:cs="Times New Roman"/>
          <w:sz w:val="24"/>
          <w:szCs w:val="24"/>
        </w:rPr>
        <w:t xml:space="preserve"> охраны жизни людей на водных объектах в Ростовской области согласно приложению.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1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55C1B">
        <w:rPr>
          <w:rFonts w:ascii="Times New Roman" w:hAnsi="Times New Roman" w:cs="Times New Roman"/>
          <w:sz w:val="24"/>
          <w:szCs w:val="24"/>
        </w:rPr>
        <w:t xml:space="preserve"> Администрации Ростовской области от 25.10.2007 N 413 "Об утверждении Правил охраны жизни людей на водных объектах в Ростовской области".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официального опубликования.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55C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Губернатора Ростовской области - руководителя аппарата Правительства Ростовской области Артемова В.В.</w:t>
      </w: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Губернатор</w:t>
      </w: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В.Ю.</w:t>
      </w:r>
      <w:proofErr w:type="gramStart"/>
      <w:r w:rsidRPr="00B55C1B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3C4E1F" w:rsidRPr="00B55C1B" w:rsidRDefault="003C4E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3C4E1F" w:rsidRPr="00B55C1B" w:rsidRDefault="003C4E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департамент по предупреждению</w:t>
      </w:r>
    </w:p>
    <w:p w:rsidR="003C4E1F" w:rsidRPr="00B55C1B" w:rsidRDefault="003C4E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и ликвидации чрезвычайных ситуаций</w:t>
      </w:r>
    </w:p>
    <w:p w:rsidR="003C4E1F" w:rsidRPr="00B55C1B" w:rsidRDefault="003C4E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5C1B" w:rsidRDefault="00B55C1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55C1B" w:rsidRDefault="00B55C1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55C1B" w:rsidRDefault="00B55C1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55C1B" w:rsidRDefault="00B55C1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55C1B" w:rsidRDefault="00B55C1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55C1B" w:rsidRDefault="00B55C1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55C1B" w:rsidRDefault="00B55C1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55C1B" w:rsidRDefault="00B55C1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55C1B" w:rsidRDefault="00B55C1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55C1B" w:rsidRDefault="00B55C1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55C1B" w:rsidRDefault="00B55C1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Приложение</w:t>
      </w: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от 23.05.2012 N 436</w:t>
      </w: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5C1B" w:rsidRDefault="00B55C1B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P37"/>
      <w:bookmarkEnd w:id="0"/>
    </w:p>
    <w:p w:rsidR="00B55C1B" w:rsidRDefault="00B55C1B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5C1B" w:rsidRDefault="00B55C1B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5C1B" w:rsidRDefault="00B55C1B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4E1F" w:rsidRPr="00B55C1B" w:rsidRDefault="003C4E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ПРАВИЛА</w:t>
      </w:r>
    </w:p>
    <w:p w:rsidR="003C4E1F" w:rsidRPr="00B55C1B" w:rsidRDefault="003C4E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ОХРАНЫ ЖИЗНИ ЛЮДЕЙ НА ВОДНЫХ ОБЪЕКТАХ</w:t>
      </w:r>
    </w:p>
    <w:p w:rsidR="003C4E1F" w:rsidRPr="00B55C1B" w:rsidRDefault="003C4E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В РОСТОВСКОЙ ОБЛАСТИ</w:t>
      </w: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5C1B">
        <w:rPr>
          <w:rFonts w:ascii="Times New Roman" w:hAnsi="Times New Roman" w:cs="Times New Roman"/>
          <w:sz w:val="24"/>
          <w:szCs w:val="24"/>
        </w:rPr>
        <w:t>(в ред. постановлений Правительства РО</w:t>
      </w:r>
      <w:proofErr w:type="gramEnd"/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от 06.09.2012 </w:t>
      </w:r>
      <w:hyperlink r:id="rId12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N 876</w:t>
        </w:r>
      </w:hyperlink>
      <w:r w:rsidRPr="00B55C1B">
        <w:rPr>
          <w:rFonts w:ascii="Times New Roman" w:hAnsi="Times New Roman" w:cs="Times New Roman"/>
          <w:sz w:val="24"/>
          <w:szCs w:val="24"/>
        </w:rPr>
        <w:t xml:space="preserve">, от 17.10.2013 </w:t>
      </w:r>
      <w:hyperlink r:id="rId13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N 646</w:t>
        </w:r>
      </w:hyperlink>
      <w:r w:rsidRPr="00B55C1B">
        <w:rPr>
          <w:rFonts w:ascii="Times New Roman" w:hAnsi="Times New Roman" w:cs="Times New Roman"/>
          <w:sz w:val="24"/>
          <w:szCs w:val="24"/>
        </w:rPr>
        <w:t>,</w:t>
      </w: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от 14.02.2014 </w:t>
      </w:r>
      <w:hyperlink r:id="rId14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N 97</w:t>
        </w:r>
      </w:hyperlink>
      <w:r w:rsidRPr="00B55C1B">
        <w:rPr>
          <w:rFonts w:ascii="Times New Roman" w:hAnsi="Times New Roman" w:cs="Times New Roman"/>
          <w:sz w:val="24"/>
          <w:szCs w:val="24"/>
        </w:rPr>
        <w:t>)</w:t>
      </w: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1.1. Настоящие Правила охраны жизни людей на водных объектах в Ростовской области (далее -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Ростовской области.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Правила разработаны в целях обеспечения: охраны жизни людей на водных объектах; безопасности населения при пользовании зонами рекреации водных объектов; безопасности детей на водных объектах; безопасности при пользовании паромными переправами и наплавными мостами; безопасности на льду; безопасности при пользовании ледовыми переправами.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1.2. Органы местного самоуправления муниципальных районов, городских округов Ростовской области в отношении водных объектов, находящихся в собственности муниципальных образований, владеют, пользуются и распоряжаются такими водными объектами, а также устанавливают правила использования водных объектов общего пользования, расположенных на территориях муниципальных образований, для личных и бытовых нужд.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Органы местного самоуправления городских, сельских поселений, городских округов Ростовской области в отношении водных объектов, находящихся в собственности муниципальных образований, владеют, пользуются и распоряжаются такими водными объектами, а также представляют гражданам информацию об ограничениях водопользования на водных объектах общего пользования, расположенных на территориях муниципальных образований.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1.3. Использование водных объектов для рекреационных целей (отдых, туризм, спорт) осуществляется с учетом правил использования водных объектов для личных и бытовых нужд, устанавливаемых органами местного самоуправления, на основании договора водопользования или решения о предоставлении водного объекта в пользование.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1.4. 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</w:t>
      </w:r>
      <w:r w:rsidRPr="00B55C1B">
        <w:rPr>
          <w:rFonts w:ascii="Times New Roman" w:hAnsi="Times New Roman" w:cs="Times New Roman"/>
          <w:sz w:val="24"/>
          <w:szCs w:val="24"/>
        </w:rPr>
        <w:lastRenderedPageBreak/>
        <w:t>для этих целей водных объектах или их участках.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1.5. Сроки купального сезона, продолжительность работы зон отдыха, спасательных станций и постов устанавливаются органами исполнительной власти Ростовской области и органами местного самоуправления.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B55C1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55C1B">
        <w:rPr>
          <w:rFonts w:ascii="Times New Roman" w:hAnsi="Times New Roman" w:cs="Times New Roman"/>
          <w:sz w:val="24"/>
          <w:szCs w:val="24"/>
        </w:rPr>
        <w:t xml:space="preserve"> МЧС России от 29.06.2005 N 501 "Об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мостами" для определения готовности зоны отдыха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 xml:space="preserve"> к эксплуатации Государственная инспекция по маломерным судам МЧС России по Ростовской области устанавливает конкретные сроки технического освидетельствования пляжей по согласованию с владельцами пляжей.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Техническое освидетельствование пляжей производится ежегодно до начала купального сезона.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При проведении технического освидетельствования пляжей проверяются: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наличие и укомплектованность спасательных постов (станций) спасателями, подготовленными к спасанию и оказанию первой медицинской помощи пострадавшим;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техническое состояние мостков, вышек и других сооружений, используемых для схода и прыжков в воду, детских купален;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соответствие установленным требованиям обозначения границы заплыва в местах купания;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наличие акта водолазного обследования дна пляжа в границах заплыва;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отсутствие на территории пляжа в границах заплыва пунктов проката маломерных судов, гидроциклов и других плавательных средств, представляющих угрозу жизни и здоровью отдыхающих и купающихся;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наличие профилактических стендов с материалами по предупреждению несчастных случаев с людьми на воде, правилами поведения и купания на пляже, данными о температуре воздуха и воды, схемой акватории пляжа с указанием глубин и опасных мест;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наличие связи и должного взаимодействия с медицинскими, спасательными, надзорными, правоохранительными органами и иными учреждениями, организациями.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Результаты технического освидетельствования пляжей оформляются актом в установленном порядке.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1.7. Утратил силу. - </w:t>
      </w:r>
      <w:hyperlink r:id="rId16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55C1B">
        <w:rPr>
          <w:rFonts w:ascii="Times New Roman" w:hAnsi="Times New Roman" w:cs="Times New Roman"/>
          <w:sz w:val="24"/>
          <w:szCs w:val="24"/>
        </w:rPr>
        <w:t xml:space="preserve"> Правительства РО от 06.09.2012 N 876.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B55C1B">
        <w:rPr>
          <w:rFonts w:ascii="Times New Roman" w:hAnsi="Times New Roman" w:cs="Times New Roman"/>
          <w:sz w:val="24"/>
          <w:szCs w:val="24"/>
        </w:rPr>
        <w:t>На водных объектах общего пользования могут быть запрещены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законодательством Ростовской области, с обязательным оповещением населения органами местного самоуправления через средства массовой информации, выставлением вдоль берега специальных информационных знаков или иным способом.</w:t>
      </w:r>
      <w:proofErr w:type="gramEnd"/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1.9.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1.10. Должностные лица департамента по предупреждению и ликвидации чрезвычайных ситуаций Ростовской области и подведомственных ему учреждений в соответствии с задачами и функциями, возложенными на них нормативными правовыми актами Ростовской области, составляют протоколы об административных правонарушениях за нарушение настоящих Правил.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C1B" w:rsidRDefault="00B55C1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lastRenderedPageBreak/>
        <w:t>2. Требования к зонам отдыха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2.1. Береговая территория зоны отдыха должна соответствовать санитарным, эпидемиологическим, гигиеническим и противопожарным нормам и правилам, иметь ограждения и стоки для дождевых вод.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2.2. В зонах отдыха для предупреждения несчастных случаев и оказания помощи терпящим бедствие на водном объекте в период купального сезона выставляются ведомственные спасательные посты предприятий, учреждений и организаций, за которыми закреплены зоны отдыха, а также общественные спасательные посты - по согласованию с названными владельцами зон отдыха.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2.3. Обучение и аттестация личного состава ведомственных спасательных постов могут осуществляться государственным казенным учреждением Ростовской области "Ростовская областная поисково-спасательная служба во внутренних водах и территориальном море Российской Федерации" (далее - ПСС </w:t>
      </w:r>
      <w:proofErr w:type="gramStart"/>
      <w:r w:rsidRPr="00B55C1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 xml:space="preserve"> ТМ).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2.4. Зоны отдыха располагаются на расстоянии: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не менее 500 метров - выше по течению от впадающих в водный объект сточных вод;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не менее 250 метров - выше, не менее 1000 метров - ниже по течению от портовых гидротехнических сооружений, пристаней, причалов, нефтеналивных объектов.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В местах, отведенных для купания, и выше них по течению до 500 метров запрещаются стирка белья и купание животных.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2.5. Перед началом купального сезона дно водного объекта в пределах участка акватории, отведенного для купания, должно быть обследовано водолазами ПСС </w:t>
      </w:r>
      <w:proofErr w:type="gramStart"/>
      <w:r w:rsidRPr="00B55C1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 xml:space="preserve"> ТМ или других организаций, имеющих разрешение на проведение данного вида работ, и очищено от водных растений, коряг, камней, стекла и других опасных предметов, иметь постепенный скат без уступов до глубины 1,75 метра при ширине участка акватории от береговой линии не менее 15 метров.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2.6. Площадь акватории в местах купания на проточном объекте должна обеспечивать не менее 5 кв. м на одного купающегося; на непроточном водном объекте - в 2-3 раза больше. На каждого человека должно приходиться не менее 2 кв. м площади береговой полосы пляжа, в купальнях - не менее 3 кв. м.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2.7. В местах, отведенных для купания, не должно быть выхода грунтовых вод, водоворота, воронок и течения, превышающего 0,5 метра в секунду.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2.8. Границы участка акватории водного объекта, отведенного для купания, устанавливаются от мест глубиной 1,3 метра, не далее 25 метров в глубину водного объекта, обозначаются буйками оранжевого цвета. Буйки располагаются вдоль границы плавания с интервалом 25-30 метров.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2.9. В зоне отдыха для купания не умеющих плавать людей отводятся участки глубиной не более 1,2 метра. Участки обозначаются линией поплавков, закрепленных на тросах, или специальным ограждением.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2.10. Зоны отдыха оборудуются стендами с материалами о правилах поведения на водном объекте, информационными таблицами, имеют места отдыха и навесы для защиты от солнца.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2.11. Плавучие понтоны, ограждающие участок акватории водного объекта, отведенного для купания, надежно закрепляются и соединяются с берегом мостиками или трапами, сходы в воду оборудуются перилами.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2.12. На плавучих понтонах, ограждающих участок акватории водного объекта, отведенного для купания, для темного времени суток устанавливаются белые огни кругового освещения на высоте 2 метров от настила понтона, которые должны быть видны со стороны судового хода.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На плавучих понтонах длиной до 50 метров устанавливается один белый огонь, на понтонах длиной 50 метров и более устанавливаются белые огни через каждые 50 метров.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2.13. Если берег крутой, места для купания с глубиной для безопасного ныряния оборудуются деревянными мостиками или плотами для прыжков в воду.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lastRenderedPageBreak/>
        <w:t>2.14. В зонах отдыха в период купального сезона организуется дежурство медицинских работников с целью оказания медицинской помощи пострадавшим на водном объекте.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2.15. Зоны отдыха обеспечиваются средствами связи и должны иметь подъездные пути для городского транспорта.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2.16. Порядок продажи спиртных напитков в местах массового отдыха у водного объекта регламентируется законодательством Российской Федерации и Ростовской области.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 Меры обеспечения безопасности населения на пляжах</w:t>
      </w: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и других местах массового отдыха на водных объектах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3.1. На пляжах и других местах массового отдыха запрещается: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3.1.1. Купаться в местах, где выставлены щиты с предупреждениями и запрещающими надписями.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3.1.2. Купаться в необорудованных, незнакомых местах.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3.1.3. Заплывать за буйки, обозначающие границы участка акватории водного объекта, отведенного для купания.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3.1.4. Подплывать к моторным, парусным судам, весельным лодкам и другим </w:t>
      </w:r>
      <w:proofErr w:type="spellStart"/>
      <w:r w:rsidRPr="00B55C1B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B55C1B">
        <w:rPr>
          <w:rFonts w:ascii="Times New Roman" w:hAnsi="Times New Roman" w:cs="Times New Roman"/>
          <w:sz w:val="24"/>
          <w:szCs w:val="24"/>
        </w:rPr>
        <w:t>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3.1.5. Прыгать в воду с катеров, лодок, причалов, а также сооружений, не приспособленных для этих целей.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3.1.6. Загрязнять и засорять водные объекты.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3.1.7. Купаться в состоянии алкогольного опьянения.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3.1.8. Приходить с собаками и другими животными.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3.1.9. Оставлять мусор на берегу и в кабинах для переодевания.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3.1.10. Играть с мячом и в спортивные игры в не отведенных для этого местах, нырять в воду с захватом купающихся.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3.1.11. Подавать крики ложной тревоги.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3.1.12. Плавать на средствах, не предназначенных для этого.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3.2. При обучении плаванию ответственность за безопасность несет инструктор (преподаватель, тренер), проводящий обучение или тренировки (далее - инструктор по плаванию).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3.3. При групповом обучении плаванию группы не должны превышать 10 человек. За группой необходимо установить непрерывное наблюдение ответственными за организацию безопасного купания детей, обученными приемам оказания первой помощи пострадавшим на воде.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3.4. Обучение плаванию должно проводиться в специально отведенных местах.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3.5. Каждый гражданин обязан оказать посильную помощь </w:t>
      </w:r>
      <w:proofErr w:type="gramStart"/>
      <w:r w:rsidRPr="00B55C1B">
        <w:rPr>
          <w:rFonts w:ascii="Times New Roman" w:hAnsi="Times New Roman" w:cs="Times New Roman"/>
          <w:sz w:val="24"/>
          <w:szCs w:val="24"/>
        </w:rPr>
        <w:t>терпящему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 xml:space="preserve"> бедствие на водном объекте.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3.6. 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 Меры обеспечения безопасности детей на водном объекте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4.1. 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4.2. Не допускаются купание детей в неустановленных местах и другие нарушения правил поведения на водном объекте.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4.3. 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lastRenderedPageBreak/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4.4. 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4.5. 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4.6. 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4.7. 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4.8. Места для купания детей оборудуются помещениями для оказания первой помощи пострадавшим и навесами для защиты от солнца.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4.9. 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Купание детей, не умеющих плавать, проводится отдельно от детей, умеющих плавать.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4.10. 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4.11. 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4.11.1. Границы участка, отведенного для купания детей, обозначаются вдоль береговой черты флажками.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4.11.2. На стойках (щитах) размещается спасательный инвентарь.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4.11.3. Лодка со спасателем выходит за границу участка, отведенного для купания, и удерживается в 2 метрах от нее.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4.12. 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Купание детей проводится под наблюдением инструкторов по плаванию, спасателей и медицинских работников.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4.13.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4.14. Во время купания детей на участке запрещаются: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4.14.1. Купание и нахождение посторонних лиц.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4.14.2. Катание на лодках, катерах и водных скутерах.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4.14.3. Игры и спортивные мероприятия.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4.15. Для проведения на берегу водного объекта занятий по обучению плаванию ограждается и оборудуется специальная площадка.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На площадке должны находиться: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плавательные доски и резиновые круги для каждого ребенка;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2-3 шеста, применяемые для поддержки не умеющих плавать детей, плавательные поддерживающие пояса;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3-4 мяча;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2-3 </w:t>
      </w:r>
      <w:proofErr w:type="gramStart"/>
      <w:r w:rsidRPr="00B55C1B">
        <w:rPr>
          <w:rFonts w:ascii="Times New Roman" w:hAnsi="Times New Roman" w:cs="Times New Roman"/>
          <w:sz w:val="24"/>
          <w:szCs w:val="24"/>
        </w:rPr>
        <w:t>переносных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 xml:space="preserve"> громкоговорящих устройства;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lastRenderedPageBreak/>
        <w:t>стенд с расписанием занятий, учебными плакатами по методике обучения и технике плавания;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помещение для оказания первой помощи пострадавшим, оборудованное укладкой для оказания первой помощи;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спасательная лодка.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4.16. 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5. Меры безопасности при пользовании </w:t>
      </w:r>
      <w:proofErr w:type="gramStart"/>
      <w:r w:rsidRPr="00B55C1B">
        <w:rPr>
          <w:rFonts w:ascii="Times New Roman" w:hAnsi="Times New Roman" w:cs="Times New Roman"/>
          <w:sz w:val="24"/>
          <w:szCs w:val="24"/>
        </w:rPr>
        <w:t>паромными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>,</w:t>
      </w: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лодочными переправами и наплавными мостами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5.1. Паромные, лодочные переправы должны иметь установленные законодательством разрешения на их создание и эксплуатацию, утвержденные правила пользования (эксплуатации) ими, находиться в исправном рабочем состоянии, обеспечивать безопасность людей и предотвращение загрязнения окружающей среды.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5.2. Режим работы паромных, лодочных переправ и наплавных мостов (далее - переправа) определяется эксплуатирующими их организациями (владельцами переправ) по согласованию с соответствующими органами исполнительной власти Ростовской области или органами местного самоуправления (в зависимости от статуса переправы), а также с органами, обеспечивающими безопасность судоходства.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5.3. Техническое состояние береговых сооружений и павильонов для ожидания пассажиров, водоотводов, причальных и швартовых устройств, </w:t>
      </w:r>
      <w:proofErr w:type="spellStart"/>
      <w:r w:rsidRPr="00B55C1B">
        <w:rPr>
          <w:rFonts w:ascii="Times New Roman" w:hAnsi="Times New Roman" w:cs="Times New Roman"/>
          <w:sz w:val="24"/>
          <w:szCs w:val="24"/>
        </w:rPr>
        <w:t>леерных</w:t>
      </w:r>
      <w:proofErr w:type="spellEnd"/>
      <w:r w:rsidRPr="00B55C1B">
        <w:rPr>
          <w:rFonts w:ascii="Times New Roman" w:hAnsi="Times New Roman" w:cs="Times New Roman"/>
          <w:sz w:val="24"/>
          <w:szCs w:val="24"/>
        </w:rPr>
        <w:t xml:space="preserve"> ограждений, аппарелей, разводных устройств направленных мостов, переходных пролетов и трапов должно соответствовать предъявляемым к ним требованиям.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5.4. На видных </w:t>
      </w:r>
      <w:proofErr w:type="gramStart"/>
      <w:r w:rsidRPr="00B55C1B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 xml:space="preserve"> на переправах эксплуатирующей организацией устанавливаются стенды (щиты) с материалами по профилактике несчастных случаев с людьми и с выдержками из текста правил пользования (эксплуатации) переправами, включая порядок посадки и высадки пассажиров, погрузки и выгрузки грузов.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5.5. На внутренних судоходных путях переправы должны обеспечивать беспрепятственный и безопасный пропуск судов, обозначаться навигационными огнями и знаками в соответствии с </w:t>
      </w:r>
      <w:hyperlink r:id="rId17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55C1B">
        <w:rPr>
          <w:rFonts w:ascii="Times New Roman" w:hAnsi="Times New Roman" w:cs="Times New Roman"/>
          <w:sz w:val="24"/>
          <w:szCs w:val="24"/>
        </w:rPr>
        <w:t xml:space="preserve"> плавания по внутренним водным путям Российской Федерации, утвержденными Приказом Министерства транспорта Российской Федерации от 14.10.2002 N 129 "Об утверждении Правил плавания по внутренним водным путям Российской Федерации". В темное время суток переправы должны быть освещены, иметь средства для светофорной и звуковой сигнализации.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5.6. Переправы должны иметь спасательные и противопожарные средства в соответствии с установленными нормами, а наплавные мосты - спасательные круги из расчета 1 круг на 5 метров моста с каждой стороны.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5.7. Используемые на переправах </w:t>
      </w:r>
      <w:proofErr w:type="spellStart"/>
      <w:r w:rsidRPr="00B55C1B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B55C1B">
        <w:rPr>
          <w:rFonts w:ascii="Times New Roman" w:hAnsi="Times New Roman" w:cs="Times New Roman"/>
          <w:sz w:val="24"/>
          <w:szCs w:val="24"/>
        </w:rPr>
        <w:t xml:space="preserve"> должны иметь установленную для них документацию, проходить государственную регистрацию и техническое освидетельствование на годность к плаванию и эксплуатироваться в соответствии с требованиями, устанавливаемыми органами, обеспечивающими безопасность мореплавания, речного судоходства, или Государственной инспекцией по маломерным судам МЧС России в зависимости от поднадзорности этих </w:t>
      </w:r>
      <w:proofErr w:type="spellStart"/>
      <w:r w:rsidRPr="00B55C1B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B55C1B">
        <w:rPr>
          <w:rFonts w:ascii="Times New Roman" w:hAnsi="Times New Roman" w:cs="Times New Roman"/>
          <w:sz w:val="24"/>
          <w:szCs w:val="24"/>
        </w:rPr>
        <w:t>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C1B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B55C1B">
        <w:rPr>
          <w:rFonts w:ascii="Times New Roman" w:hAnsi="Times New Roman" w:cs="Times New Roman"/>
          <w:sz w:val="24"/>
          <w:szCs w:val="24"/>
        </w:rPr>
        <w:t xml:space="preserve"> должны нести соответствующие огни (знаки) и подавать установленные звуковые сигналы.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6. Меры безопасности на льду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6.1. 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</w:t>
      </w:r>
      <w:r w:rsidRPr="00B55C1B">
        <w:rPr>
          <w:rFonts w:ascii="Times New Roman" w:hAnsi="Times New Roman" w:cs="Times New Roman"/>
          <w:sz w:val="24"/>
          <w:szCs w:val="24"/>
        </w:rPr>
        <w:lastRenderedPageBreak/>
        <w:t>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Если лед непрочен, необходимо прекратить движение и возвращаться по пройденному маршруту. От места с непрочным льдом следует осуществлять движение, не отрывая ног от поверхности льда.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Запрещается проверять прочность льда ударами ноги, бегать, прыгать по льду.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6.2. 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над поверхностью растительностью, впадающими в него ручьями или вливающимися сточными водами; проявлять осторожность в местах заготовки льда.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Безопасный для перехода лед имеет зеленоватый оттенок и толщину не менее 7 сантиметров.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6.3. При движении группы людей по льду необходимо следовать друг от друга на расстоянии 5-6 метров и быть готовым оказать немедленную помощь идущему впереди.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6.4. Катание на коньках по льду водоемов разрешается после проверки прочности льда.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Толщина льда для безопасного катания на коньках должна составлять не менее 12 сантиметров, при массовом катании - не менее 25 сантиметров.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6.5. При движении по льду на лыжах рекомендуется пользоваться проложенной лыжней.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При отсутствии лыжни необходимо отстегнуть крепления лыж, снять с кистей рук петли лыжных палок, взять на одно плечо рюкзак или ранец и соблюдать дистанцию 5-6 метров.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При движении по льду лыжник, идущий первым, лыжными палками проверяет прочность льда и следит за его состоянием.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6.6. Абзац утратил силу. - </w:t>
      </w:r>
      <w:hyperlink r:id="rId18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55C1B">
        <w:rPr>
          <w:rFonts w:ascii="Times New Roman" w:hAnsi="Times New Roman" w:cs="Times New Roman"/>
          <w:sz w:val="24"/>
          <w:szCs w:val="24"/>
        </w:rPr>
        <w:t xml:space="preserve"> Правительства РО от 17.10.2013 N 646.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400-500 граммов, а на другом - изготовлена петля.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Рекомендовать органам местного самоуправления в местах с большим количеством рыболовов на значительной площади льда в период интенсивного подледного лова рыбы выставлять спасательные посты, укомплектованные подготовленными спасателями, оснащенные спасательными средствами, электромегафонами, другими средствами связи и владеющие постоянно информацией о гидрометеорологической обстановке в этом районе.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При угрозе отрыва льда от берега спасатели немедленно информируют об этом рыболовов и принимают меры по удалению их со льда, а в случае отрыва льда немедленно информируется оперативный дежурный ПСС </w:t>
      </w:r>
      <w:proofErr w:type="gramStart"/>
      <w:r w:rsidRPr="00B55C1B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 xml:space="preserve"> ТМ или его ближайшее подразделение, а также оперативный дежурный департамента по предупреждению и ликвидации чрезвычайных ситуаций Ростовской области.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 Меры безопасности при пользовании ледовыми переправами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7.1. Статус ледовых переправ, режим их работы, порядок и вопросы оплаты перевозок автотранспорта и пассажиров, а также горючих, опасных грузов и спецтранспорта определяются эксплуатирующими организациями и согласовываются в установленном законодательством порядке.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Техническое освидетельствование ледовых переправ производится как перед их вводом в пользование, так и перед окончанием пользования.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При техническом освидетельствовании ледовых переправ проверяются: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документация на создание переправы, техническая документация, наличие технических талонов на годность к плаванию маломерных судов, используемых на переправе, техническое состояние береговых сооружений, укомплектованность оборудованием, аварийно-спасательным имуществом и техническими средствами, предотвращающими загрязнение </w:t>
      </w:r>
      <w:r w:rsidRPr="00B55C1B">
        <w:rPr>
          <w:rFonts w:ascii="Times New Roman" w:hAnsi="Times New Roman" w:cs="Times New Roman"/>
          <w:sz w:val="24"/>
          <w:szCs w:val="24"/>
        </w:rPr>
        <w:lastRenderedPageBreak/>
        <w:t>окружающей среды, организация пропускного режима, выполнение требований по обеспечению безопасности судоходства и охраны жизни людей на воде.</w:t>
      </w:r>
    </w:p>
    <w:p w:rsidR="003C4E1F" w:rsidRPr="00B55C1B" w:rsidRDefault="003C4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55C1B">
        <w:rPr>
          <w:rFonts w:ascii="Times New Roman" w:hAnsi="Times New Roman" w:cs="Times New Roman"/>
          <w:sz w:val="24"/>
          <w:szCs w:val="24"/>
        </w:rPr>
        <w:t xml:space="preserve"> Правительства РО от 14.02.2014 N 97)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7.2. Ледовые переправы (далее - переправа) должны иметь пропускную способность, обеспечивающую установленную для них интенсивность движения согласно расчетным нагрузкам, иметь безопасные условия для транспортных средств и пешеходов.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7.3. Места для переправ должны соответствовать следующим условиям: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7.3.1. Дороги и спуски, ведущие к переправам, должны быть благоустроены.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7.3.2. По обе стороны от маршрутов движения на расстоянии 100 метров не должно быть впадающих в водный объект грунтовых или сточных вод, промоин, майн и площадок для заготовки льда.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7.3.3. На трассе автогужевых переправ устанавливается одностороннее движение.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7.3.4. Трасса для встречного движения должна быть проложена параллельно и удалена на расстояние не менее 40-50 метров.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7.4. На переправах категорически запрещается: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7.4.1. Пробивать лунки для рыбной ловли и других целей.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7.4.2. Производить переход и проезд в </w:t>
      </w:r>
      <w:proofErr w:type="spellStart"/>
      <w:r w:rsidRPr="00B55C1B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B55C1B">
        <w:rPr>
          <w:rFonts w:ascii="Times New Roman" w:hAnsi="Times New Roman" w:cs="Times New Roman"/>
          <w:sz w:val="24"/>
          <w:szCs w:val="24"/>
        </w:rPr>
        <w:t xml:space="preserve"> и неохраняемых местах.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7.5. Порядок движения транспорта и нормы перевозки грузов и пассажиров устанавливаются администрацией переправы с учетом ледового прогноза и таблицы максимальной нагрузки на лед, составленной органом по гидрометеорологии и мониторингу окружающей среды.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7.6. Для обеспечения безопасности людей на переправе выставляется ведомственный спасательный пост, укомплектованный спасателями, владеющими приемами оказания помощи </w:t>
      </w:r>
      <w:proofErr w:type="gramStart"/>
      <w:r w:rsidRPr="00B55C1B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 xml:space="preserve"> бедствие на льду.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7.7. Оборудование и содержание переправ.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7.7.1. У подъезда к переправе выставляется стенд с информацией о: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C1B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 xml:space="preserve"> транспорта, разрешенного для проезда, и максимальном грузе для провоза;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C1B">
        <w:rPr>
          <w:rFonts w:ascii="Times New Roman" w:hAnsi="Times New Roman" w:cs="Times New Roman"/>
          <w:sz w:val="24"/>
          <w:szCs w:val="24"/>
        </w:rPr>
        <w:t>интервале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 xml:space="preserve"> и порядке движения транспорта;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C1B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 xml:space="preserve"> пользования переправой.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7.7.2. Ежедневно, утром и вечером, а при потеплении - дополнительно в дневное время суток в районе переправы производится замер толщины льда и определяется прочность по его структуре.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Замер толщины льда производится по всей трассе. При определении прочности льда особое внимание уделяется местам с большой скоростью течения и глубиной водоема.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7.7.3. На переправе регулярно проводится расчистка проезжей части от снега до поверхности льда.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7.7.4. Граница места, отведенного для переправы, обозначается вехами с интервалом 20-30 метров.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7.7.5. В опасных для движения местах выставляются предупреждающие знаки.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8. Меры безопасности при проведении работ</w:t>
      </w: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по выемке грунта и заготовке льда на водных объектах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8.1. Работы по выемке грунта вблизи водных объектов должны осуществляться в соответствии с действующим законодательством.</w:t>
      </w:r>
    </w:p>
    <w:p w:rsidR="003C4E1F" w:rsidRPr="00B55C1B" w:rsidRDefault="003C4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5C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0" w:history="1">
        <w:r w:rsidRPr="00B55C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55C1B">
        <w:rPr>
          <w:rFonts w:ascii="Times New Roman" w:hAnsi="Times New Roman" w:cs="Times New Roman"/>
          <w:sz w:val="24"/>
          <w:szCs w:val="24"/>
        </w:rPr>
        <w:t xml:space="preserve"> Правительства РО от 14.02.2014 N 97)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8.2. Предприятия, учреждения и организации (далее - организация) при производстве работ по выемке грунта, торфа и сапропеля, углублению дна водных объектов на пляжах, в других местах массового отдыха населения и вблизи них обязаны ограждать опасные для купания участки, а по окончании этих работ - выравнивать дно.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8.3. Ответственность за обеспечение безопасности жизни людей в обводненных карьерах до окончания в них работ несут организации, производящие выемку грунта.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lastRenderedPageBreak/>
        <w:t>8.4. По окончании работ по выемке грунта в обводненных карьерах, предназначенных для массового отдыха населения, организации, выполнявшие эти работы, обязаны произвести выравнивание дна береговой черты до глубины 1,7-2,0 метра.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8.5. Организации при производстве работ по заготовке льда на водных объектах должны ограждать участки, на которых ведутся работы.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9. Знаки безопасности на водных объектах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9.1. Знаки безопасности на водных объектах устанавливаются владельцами пляжей, мест массового отдыха, переправ, баз (сооружений) для стоянок маломерных судов и другими 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9.2. Знаки имеют форму прямоугольника с размерами сторон не менее 50-60 см и изготавливаются из прочного материала.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9.3. Знаки устанавливаются на видных местах и укрепляются на столбах (деревянных, металлических, железобетонных), врытых в землю.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Высота столбов над землей должна быть не менее 2,5 метра.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9.4. Надписи на знаках делаются черной или белой краской.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9.5. Характеристики знаков безопасности на водных объектах приведены в таблице.</w:t>
      </w:r>
    </w:p>
    <w:p w:rsidR="003C4E1F" w:rsidRPr="00B55C1B" w:rsidRDefault="003C4E1F">
      <w:pPr>
        <w:rPr>
          <w:rFonts w:ascii="Times New Roman" w:hAnsi="Times New Roman" w:cs="Times New Roman"/>
          <w:sz w:val="24"/>
          <w:szCs w:val="24"/>
        </w:rPr>
        <w:sectPr w:rsidR="003C4E1F" w:rsidRPr="00B55C1B" w:rsidSect="00B55C1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Таблица</w:t>
      </w: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ХАРАКТЕРИСТИКА ЗНАКОВ БЕЗОПАСНОСТИ НА ВОДНЫХ ОБЪЕКТАХ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820"/>
        <w:gridCol w:w="6000"/>
      </w:tblGrid>
      <w:tr w:rsidR="003C4E1F" w:rsidRPr="00B55C1B">
        <w:tc>
          <w:tcPr>
            <w:tcW w:w="600" w:type="dxa"/>
          </w:tcPr>
          <w:p w:rsidR="003C4E1F" w:rsidRPr="00B55C1B" w:rsidRDefault="003C4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0" w:type="dxa"/>
          </w:tcPr>
          <w:p w:rsidR="003C4E1F" w:rsidRPr="00B55C1B" w:rsidRDefault="003C4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Надпись на знаке</w:t>
            </w:r>
          </w:p>
        </w:tc>
        <w:tc>
          <w:tcPr>
            <w:tcW w:w="6000" w:type="dxa"/>
          </w:tcPr>
          <w:p w:rsidR="003C4E1F" w:rsidRPr="00B55C1B" w:rsidRDefault="003C4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Описание знака</w:t>
            </w:r>
          </w:p>
        </w:tc>
      </w:tr>
      <w:tr w:rsidR="003C4E1F" w:rsidRPr="00B55C1B">
        <w:tc>
          <w:tcPr>
            <w:tcW w:w="600" w:type="dxa"/>
          </w:tcPr>
          <w:p w:rsidR="003C4E1F" w:rsidRPr="00B55C1B" w:rsidRDefault="003C4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</w:tcPr>
          <w:p w:rsidR="003C4E1F" w:rsidRPr="00B55C1B" w:rsidRDefault="003C4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Место купания (с указанием границ в метрах)</w:t>
            </w:r>
          </w:p>
        </w:tc>
        <w:tc>
          <w:tcPr>
            <w:tcW w:w="6000" w:type="dxa"/>
          </w:tcPr>
          <w:p w:rsidR="003C4E1F" w:rsidRPr="00B55C1B" w:rsidRDefault="003C4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изображение в зеленой рамке, надпись вверху, на знаке изображен плывущий человек; знак укрепляется на столбе белого цвета</w:t>
            </w:r>
          </w:p>
        </w:tc>
      </w:tr>
      <w:tr w:rsidR="003C4E1F" w:rsidRPr="00B55C1B">
        <w:tc>
          <w:tcPr>
            <w:tcW w:w="600" w:type="dxa"/>
          </w:tcPr>
          <w:p w:rsidR="003C4E1F" w:rsidRPr="00B55C1B" w:rsidRDefault="003C4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</w:tcPr>
          <w:p w:rsidR="003C4E1F" w:rsidRPr="00B55C1B" w:rsidRDefault="003C4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Место купания детей (с указанием границ в метрах)</w:t>
            </w:r>
          </w:p>
        </w:tc>
        <w:tc>
          <w:tcPr>
            <w:tcW w:w="6000" w:type="dxa"/>
          </w:tcPr>
          <w:p w:rsidR="003C4E1F" w:rsidRPr="00B55C1B" w:rsidRDefault="003C4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изображение в зеленой рамке, надпись вверху, на знаке изображены двое детей, стоящих в воде; знак укрепляется на столбе белого цвета</w:t>
            </w:r>
          </w:p>
        </w:tc>
      </w:tr>
      <w:tr w:rsidR="003C4E1F" w:rsidRPr="00B55C1B">
        <w:tc>
          <w:tcPr>
            <w:tcW w:w="600" w:type="dxa"/>
          </w:tcPr>
          <w:p w:rsidR="003C4E1F" w:rsidRPr="00B55C1B" w:rsidRDefault="003C4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</w:tcPr>
          <w:p w:rsidR="003C4E1F" w:rsidRPr="00B55C1B" w:rsidRDefault="003C4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Место купания животных (с указанием границ в метрах)</w:t>
            </w:r>
          </w:p>
        </w:tc>
        <w:tc>
          <w:tcPr>
            <w:tcW w:w="6000" w:type="dxa"/>
          </w:tcPr>
          <w:p w:rsidR="003C4E1F" w:rsidRPr="00B55C1B" w:rsidRDefault="003C4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изображение в зеленой рамке, надпись вверху, на знаке изображена плывущая собака; знак укрепляется на столбе белого цвета</w:t>
            </w:r>
          </w:p>
        </w:tc>
      </w:tr>
      <w:tr w:rsidR="003C4E1F" w:rsidRPr="00B55C1B">
        <w:tc>
          <w:tcPr>
            <w:tcW w:w="600" w:type="dxa"/>
          </w:tcPr>
          <w:p w:rsidR="003C4E1F" w:rsidRPr="00B55C1B" w:rsidRDefault="003C4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</w:tcPr>
          <w:p w:rsidR="003C4E1F" w:rsidRPr="00B55C1B" w:rsidRDefault="003C4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Купаться запрещено (с указанием границ в метрах)</w:t>
            </w:r>
          </w:p>
        </w:tc>
        <w:tc>
          <w:tcPr>
            <w:tcW w:w="6000" w:type="dxa"/>
          </w:tcPr>
          <w:p w:rsidR="003C4E1F" w:rsidRPr="00B55C1B" w:rsidRDefault="003C4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изображение в красной рамке перечеркнуто красной чертой по диагонали из верхнего левого угла, надпись вверху, на знаке изображен плывущий человек; знак укреплен на столбе красного цвета</w:t>
            </w:r>
          </w:p>
        </w:tc>
      </w:tr>
      <w:tr w:rsidR="003C4E1F" w:rsidRPr="00B55C1B">
        <w:tc>
          <w:tcPr>
            <w:tcW w:w="600" w:type="dxa"/>
          </w:tcPr>
          <w:p w:rsidR="003C4E1F" w:rsidRPr="00B55C1B" w:rsidRDefault="003C4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0" w:type="dxa"/>
          </w:tcPr>
          <w:p w:rsidR="003C4E1F" w:rsidRPr="00B55C1B" w:rsidRDefault="003C4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Переход (переезд) по льду разрешен</w:t>
            </w:r>
          </w:p>
        </w:tc>
        <w:tc>
          <w:tcPr>
            <w:tcW w:w="6000" w:type="dxa"/>
          </w:tcPr>
          <w:p w:rsidR="003C4E1F" w:rsidRPr="00B55C1B" w:rsidRDefault="003C4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знак зеленого цвета, надпись в центре; знак укрепляется на столбе белого цвета</w:t>
            </w:r>
          </w:p>
        </w:tc>
      </w:tr>
      <w:tr w:rsidR="003C4E1F" w:rsidRPr="00B55C1B">
        <w:tc>
          <w:tcPr>
            <w:tcW w:w="600" w:type="dxa"/>
          </w:tcPr>
          <w:p w:rsidR="003C4E1F" w:rsidRPr="00B55C1B" w:rsidRDefault="003C4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0" w:type="dxa"/>
          </w:tcPr>
          <w:p w:rsidR="003C4E1F" w:rsidRPr="00B55C1B" w:rsidRDefault="003C4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Переход (переезд) по льду запрещен</w:t>
            </w:r>
          </w:p>
        </w:tc>
        <w:tc>
          <w:tcPr>
            <w:tcW w:w="6000" w:type="dxa"/>
          </w:tcPr>
          <w:p w:rsidR="003C4E1F" w:rsidRPr="00B55C1B" w:rsidRDefault="003C4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C1B">
              <w:rPr>
                <w:rFonts w:ascii="Times New Roman" w:hAnsi="Times New Roman" w:cs="Times New Roman"/>
                <w:sz w:val="24"/>
                <w:szCs w:val="24"/>
              </w:rPr>
              <w:t>знак красного цвета, надпись в центре; знак укрепляется на столбе красного цвета</w:t>
            </w:r>
          </w:p>
        </w:tc>
      </w:tr>
    </w:tbl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 xml:space="preserve">9.6. За нарушение настоящих </w:t>
      </w:r>
      <w:proofErr w:type="gramStart"/>
      <w:r w:rsidRPr="00B55C1B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B55C1B">
        <w:rPr>
          <w:rFonts w:ascii="Times New Roman" w:hAnsi="Times New Roman" w:cs="Times New Roman"/>
          <w:sz w:val="24"/>
          <w:szCs w:val="24"/>
        </w:rPr>
        <w:t xml:space="preserve"> виновные лица несут ответственность в соответствии с действующим законодательством.</w:t>
      </w: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Правительства Ростовской области</w:t>
      </w:r>
    </w:p>
    <w:p w:rsidR="003C4E1F" w:rsidRPr="00B55C1B" w:rsidRDefault="003C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5C1B">
        <w:rPr>
          <w:rFonts w:ascii="Times New Roman" w:hAnsi="Times New Roman" w:cs="Times New Roman"/>
          <w:sz w:val="24"/>
          <w:szCs w:val="24"/>
        </w:rPr>
        <w:t>М.В.ФИШКИН</w:t>
      </w: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E1F" w:rsidRPr="00B55C1B" w:rsidRDefault="003C4E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3206A" w:rsidRPr="00B55C1B" w:rsidRDefault="00A3206A">
      <w:pPr>
        <w:rPr>
          <w:rFonts w:ascii="Times New Roman" w:hAnsi="Times New Roman" w:cs="Times New Roman"/>
          <w:sz w:val="24"/>
          <w:szCs w:val="24"/>
        </w:rPr>
      </w:pPr>
    </w:p>
    <w:sectPr w:rsidR="00A3206A" w:rsidRPr="00B55C1B" w:rsidSect="00B55C1B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1F"/>
    <w:rsid w:val="003C4E1F"/>
    <w:rsid w:val="00A3206A"/>
    <w:rsid w:val="00B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983484A2F7A0A224B287FE80476E070F0456E9B76FACCD6DB8F63342B563869AE44F51D78555FNAn9K" TargetMode="External"/><Relationship Id="rId13" Type="http://schemas.openxmlformats.org/officeDocument/2006/relationships/hyperlink" Target="consultantplus://offline/ref=498983484A2F7A0A224B3672FE6829E577F312659B7DF09D8384D43E63225C6F2EE11DB75975565AA9396BNBn9K" TargetMode="External"/><Relationship Id="rId18" Type="http://schemas.openxmlformats.org/officeDocument/2006/relationships/hyperlink" Target="consultantplus://offline/ref=498983484A2F7A0A224B3672FE6829E577F312659B7DF09D8384D43E63225C6F2EE11DB75975565AA9396BNBn9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98983484A2F7A0A224B3672FE6829E577F312659A75F4938984D43E63225C6F2EE11DB75975565AA9396BNBn9K" TargetMode="External"/><Relationship Id="rId12" Type="http://schemas.openxmlformats.org/officeDocument/2006/relationships/hyperlink" Target="consultantplus://offline/ref=498983484A2F7A0A224B3672FE6829E577F312659B75F79B8284D43E63225C6F2EE11DB75975565AA9396BNBn9K" TargetMode="External"/><Relationship Id="rId17" Type="http://schemas.openxmlformats.org/officeDocument/2006/relationships/hyperlink" Target="consultantplus://offline/ref=498983484A2F7A0A224B287FE80476E075F94B6B9A7FA7C6DE8283613324092F6EE748F41D7856N5n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8983484A2F7A0A224B3672FE6829E577F312659B75F79B8284D43E63225C6F2EE11DB75975565AA9396BNBn9K" TargetMode="External"/><Relationship Id="rId20" Type="http://schemas.openxmlformats.org/officeDocument/2006/relationships/hyperlink" Target="consultantplus://offline/ref=498983484A2F7A0A224B3672FE6829E577F312659A75F4938984D43E63225C6F2EE11DB75975565AA9396BNBn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983484A2F7A0A224B3672FE6829E577F312659B7DF09D8384D43E63225C6F2EE11DB75975565AA9396BNBn9K" TargetMode="External"/><Relationship Id="rId11" Type="http://schemas.openxmlformats.org/officeDocument/2006/relationships/hyperlink" Target="consultantplus://offline/ref=498983484A2F7A0A224B3672FE6829E577F312659E7DF89C8884D43E63225C6FN2nEK" TargetMode="External"/><Relationship Id="rId5" Type="http://schemas.openxmlformats.org/officeDocument/2006/relationships/hyperlink" Target="consultantplus://offline/ref=498983484A2F7A0A224B3672FE6829E577F312659B75F79B8284D43E63225C6F2EE11DB75975565AA9396BNBn9K" TargetMode="External"/><Relationship Id="rId15" Type="http://schemas.openxmlformats.org/officeDocument/2006/relationships/hyperlink" Target="consultantplus://offline/ref=498983484A2F7A0A224B287FE80476E070F84E6F9B7DFACCD6DB8F6334N2nBK" TargetMode="External"/><Relationship Id="rId10" Type="http://schemas.openxmlformats.org/officeDocument/2006/relationships/hyperlink" Target="consultantplus://offline/ref=498983484A2F7A0A224B3672FE6829E577F312659A76F09C8284D43E63225C6F2EE11DB75975565AA93969NBnFK" TargetMode="External"/><Relationship Id="rId19" Type="http://schemas.openxmlformats.org/officeDocument/2006/relationships/hyperlink" Target="consultantplus://offline/ref=498983484A2F7A0A224B3672FE6829E577F312659A75F4938984D43E63225C6F2EE11DB75975565AA9396BNBn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8983484A2F7A0A224B287FE80476E077FC496D977FA7C6DE8283613324092F6EE748F41D7857N5nFK" TargetMode="External"/><Relationship Id="rId14" Type="http://schemas.openxmlformats.org/officeDocument/2006/relationships/hyperlink" Target="consultantplus://offline/ref=498983484A2F7A0A224B3672FE6829E577F312659A75F4938984D43E63225C6F2EE11DB75975565AA9396BNBn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4762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2</cp:revision>
  <dcterms:created xsi:type="dcterms:W3CDTF">2016-01-13T10:41:00Z</dcterms:created>
  <dcterms:modified xsi:type="dcterms:W3CDTF">2016-01-13T10:41:00Z</dcterms:modified>
</cp:coreProperties>
</file>