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67"/>
        <w:ind w:firstLine="0" w:left="-1" w:right="4"/>
        <w:jc w:val="center"/>
        <w:rPr>
          <w:b w:val="1"/>
          <w:sz w:val="26"/>
        </w:rPr>
      </w:pPr>
      <w:r>
        <w:rPr>
          <w:b w:val="1"/>
          <w:sz w:val="26"/>
        </w:rPr>
        <w:t>Памятка</w:t>
      </w:r>
      <w:r>
        <w:rPr>
          <w:b w:val="1"/>
          <w:spacing w:val="-16"/>
          <w:sz w:val="26"/>
        </w:rPr>
        <w:t xml:space="preserve"> </w:t>
      </w:r>
      <w:r>
        <w:rPr>
          <w:b w:val="1"/>
          <w:spacing w:val="-2"/>
          <w:sz w:val="26"/>
        </w:rPr>
        <w:t>работодателям</w:t>
      </w:r>
    </w:p>
    <w:p w14:paraId="02000000">
      <w:pPr>
        <w:spacing w:before="1"/>
        <w:ind w:firstLine="0" w:left="2" w:right="4"/>
        <w:jc w:val="center"/>
        <w:rPr>
          <w:b w:val="1"/>
          <w:sz w:val="26"/>
        </w:rPr>
      </w:pPr>
      <w:r>
        <w:rPr>
          <w:b w:val="1"/>
          <w:sz w:val="26"/>
        </w:rPr>
        <w:t>о</w:t>
      </w:r>
      <w:r>
        <w:rPr>
          <w:b w:val="1"/>
          <w:spacing w:val="-7"/>
          <w:sz w:val="26"/>
        </w:rPr>
        <w:t xml:space="preserve"> </w:t>
      </w:r>
      <w:r>
        <w:rPr>
          <w:b w:val="1"/>
          <w:sz w:val="26"/>
        </w:rPr>
        <w:t>необходимости</w:t>
      </w:r>
      <w:r>
        <w:rPr>
          <w:b w:val="1"/>
          <w:spacing w:val="-4"/>
          <w:sz w:val="26"/>
        </w:rPr>
        <w:t xml:space="preserve"> </w:t>
      </w:r>
      <w:r>
        <w:rPr>
          <w:b w:val="1"/>
          <w:sz w:val="26"/>
        </w:rPr>
        <w:t>соблюдения</w:t>
      </w:r>
      <w:r>
        <w:rPr>
          <w:b w:val="1"/>
          <w:spacing w:val="-8"/>
          <w:sz w:val="26"/>
        </w:rPr>
        <w:t xml:space="preserve"> </w:t>
      </w:r>
      <w:r>
        <w:rPr>
          <w:b w:val="1"/>
          <w:sz w:val="26"/>
        </w:rPr>
        <w:t>действующего</w:t>
      </w:r>
      <w:r>
        <w:rPr>
          <w:b w:val="1"/>
          <w:spacing w:val="-7"/>
          <w:sz w:val="26"/>
        </w:rPr>
        <w:t xml:space="preserve"> </w:t>
      </w:r>
      <w:r>
        <w:rPr>
          <w:b w:val="1"/>
          <w:sz w:val="26"/>
        </w:rPr>
        <w:t>законодательства, и помощи в</w:t>
      </w:r>
      <w:r>
        <w:rPr>
          <w:b w:val="1"/>
          <w:spacing w:val="-1"/>
          <w:sz w:val="26"/>
        </w:rPr>
        <w:t xml:space="preserve"> </w:t>
      </w:r>
      <w:r>
        <w:rPr>
          <w:b w:val="1"/>
          <w:sz w:val="26"/>
        </w:rPr>
        <w:t>социальной,</w:t>
      </w:r>
      <w:r>
        <w:rPr>
          <w:b w:val="1"/>
          <w:sz w:val="26"/>
        </w:rPr>
        <w:t xml:space="preserve"> культурной адаптации привлекаемых иностранных работников.</w:t>
      </w:r>
    </w:p>
    <w:p w14:paraId="03000000">
      <w:pPr>
        <w:pStyle w:val="Style_1"/>
        <w:spacing w:before="26"/>
        <w:ind w:firstLine="0" w:left="0" w:right="0"/>
        <w:jc w:val="left"/>
        <w:rPr>
          <w:b w:val="1"/>
        </w:rPr>
      </w:pPr>
    </w:p>
    <w:p w14:paraId="04000000">
      <w:pPr>
        <w:pStyle w:val="Style_1"/>
        <w:spacing w:before="0"/>
        <w:ind/>
      </w:pPr>
      <w:r>
        <w:t>Принять на работу иностранного сотрудника по всем нормам законодательства – это первый шаг к сотрудничеству со специалистом из другой страны. С приходом в компанию такого</w:t>
      </w:r>
      <w:r>
        <w:rPr>
          <w:spacing w:val="-1"/>
        </w:rPr>
        <w:t xml:space="preserve"> </w:t>
      </w:r>
      <w:r>
        <w:t>работника необходимо</w:t>
      </w:r>
      <w:r>
        <w:rPr>
          <w:spacing w:val="-3"/>
        </w:rPr>
        <w:t xml:space="preserve"> </w:t>
      </w:r>
      <w:r>
        <w:t>создать 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адаптации к</w:t>
      </w:r>
      <w:r>
        <w:rPr>
          <w:spacing w:val="-4"/>
        </w:rPr>
        <w:t xml:space="preserve"> </w:t>
      </w:r>
      <w:r>
        <w:t>правовым, социально-экономическим, культурным и иным условиям жизни в Российской Федерации. От качества этой адаптации зависит, насколько продуктивно иностранный специалист будет работать в компании.</w:t>
      </w:r>
    </w:p>
    <w:p w14:paraId="05000000">
      <w:pPr>
        <w:pStyle w:val="Style_1"/>
        <w:spacing w:before="59"/>
        <w:ind w:right="145"/>
      </w:pPr>
      <w:r>
        <w:rPr>
          <w:b w:val="1"/>
        </w:rPr>
        <w:t xml:space="preserve">Трудовые права иностранного работника. </w:t>
      </w:r>
      <w:r>
        <w:t>Согласно ст. 62 Конституции Российской Федерации иностранные граждане пользуются правами наравне с гражданами Российской Федерации, кроме случаев, которые установлены федеральным законом или международным договором. На основании ст.11 Трудового Кодекса Российской Федерации (далее – ТК РФ) его нормы распространяются также и на трудовые отношения с участием иностранных граждан. Трудовой договор с иностранным работником помимо обязательных сведений и условий, предусмотренных ч. 1 - 2 ст. 57 ТК РФ, должен содержать ряд особенных сведений и условий, предусмотренных ст. 327.2 ТК РФ. Это сведения о полученном разрешении на работу, а для высококвалифицированных специалистов - условие об основаниях оказания такому работнику медицинской помощи в течение срока действия трудового договора. В этом пункте следует указать реквизиты договора (полиса) добровольного медицинского страхования либо договора, заключенного работодателем с медицинской организацией о предоставлении такому работнику первичной медикосанитарной помощи и специализированной медицинской помощи в неотложной форме.</w:t>
      </w:r>
    </w:p>
    <w:p w14:paraId="06000000">
      <w:pPr>
        <w:pStyle w:val="Style_1"/>
        <w:spacing w:before="59"/>
        <w:ind w:right="145"/>
      </w:pPr>
      <w:r>
        <w:t>Трудовой договор с иностранным работником заключается на срок действия разрешения на работу. Он составляется в двух экземплярах, один из которых передается работнику, что подтверждается его подписью на другом экземпляре, хранящемся у работодателя. Во избежание недоразумений рекомендуем составлять трудовой договор на двух языках: русском и родном языке иностранного работника.</w:t>
      </w:r>
    </w:p>
    <w:p w14:paraId="07000000">
      <w:pPr>
        <w:pStyle w:val="Style_1"/>
        <w:ind w:right="143"/>
      </w:pPr>
      <w:r>
        <w:t>В общем порядке до заключения трудового договора работника нужно</w:t>
      </w:r>
      <w:r>
        <w:rPr>
          <w:spacing w:val="40"/>
        </w:rPr>
        <w:t xml:space="preserve"> </w:t>
      </w:r>
      <w:r>
        <w:t xml:space="preserve">ознакомить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 (при его наличии) (ч. 3 ст. 68 ТК </w:t>
      </w:r>
      <w:r>
        <w:rPr>
          <w:spacing w:val="-4"/>
        </w:rPr>
        <w:t>РФ).</w:t>
      </w:r>
    </w:p>
    <w:p w14:paraId="08000000">
      <w:pPr>
        <w:pStyle w:val="Style_1"/>
        <w:ind w:right="143"/>
      </w:pPr>
      <w:r>
        <w:t>После заключения трудового договора работодатель обязан провести необходимые инструктажи (инструктаж по охране труда, технике безопасности, пожарной безопасности и т.д). Их также рекомендуем продублировать на родном языке привлекаемого иностранного работника.</w:t>
      </w:r>
    </w:p>
    <w:p w14:paraId="09000000">
      <w:pPr>
        <w:pStyle w:val="Style_1"/>
        <w:spacing w:before="59"/>
        <w:ind w:right="136"/>
      </w:pPr>
      <w:r>
        <w:rPr>
          <w:b w:val="1"/>
        </w:rPr>
        <w:t>Языковая интеграция в среду.</w:t>
      </w:r>
      <w:r>
        <w:rPr>
          <w:b w:val="1"/>
          <w:spacing w:val="-3"/>
        </w:rPr>
        <w:t xml:space="preserve"> </w:t>
      </w:r>
      <w:r>
        <w:t>Пока иностранный работник не научится объясняться на русском языке, ему будет трудно взаимодействовать с коллегами и правильно выполнять даже простейший функционал. Ваша задача – помочь работнику преодолеть языковой барьер и начать понимать речь, надписи, инструкции.</w:t>
      </w:r>
    </w:p>
    <w:p w14:paraId="0A000000">
      <w:pPr>
        <w:pStyle w:val="Style_1"/>
        <w:spacing w:before="59"/>
        <w:ind w:right="145"/>
      </w:pPr>
      <w:r>
        <w:t>Необходимо сделать распечатки с инфографикой или электронные аналоги, где слева будет текст на русском языке, а справа он будет продублирован на родном языке сотрудника. Также можно сделать собственные корпоративные разговорники с набором важных терминов, вопросов, ответов. Это поможет иностранцу быстрее научиться задавать вопросы о происходящем вокруг и понимать ответы.</w:t>
      </w:r>
    </w:p>
    <w:p w14:paraId="0B000000">
      <w:pPr>
        <w:pStyle w:val="Style_1"/>
        <w:spacing w:before="60"/>
        <w:ind w:right="145"/>
      </w:pPr>
      <w:r>
        <w:t xml:space="preserve">Также возможно дублирование важных письменных распоряжений, предостережения и инструкции на родном языке сотрудника, особенно если это связано с техникой </w:t>
      </w:r>
      <w:r>
        <w:rPr>
          <w:spacing w:val="-2"/>
        </w:rPr>
        <w:t>безопасности.</w:t>
      </w:r>
    </w:p>
    <w:p w14:paraId="0C000000">
      <w:pPr>
        <w:pStyle w:val="Style_1"/>
        <w:ind w:right="146"/>
      </w:pPr>
      <w:r>
        <w:rPr>
          <w:b w:val="1"/>
        </w:rPr>
        <w:t xml:space="preserve">Социально-бытовая адаптация. </w:t>
      </w:r>
      <w:r>
        <w:t>Необходимо помочь работникам адаптироваться к жизни в новой для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среде,</w:t>
      </w:r>
      <w:r>
        <w:rPr>
          <w:spacing w:val="-2"/>
        </w:rPr>
        <w:t xml:space="preserve"> </w:t>
      </w:r>
      <w:r>
        <w:t>объяснить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нормы общественной морали и этики.</w:t>
      </w:r>
    </w:p>
    <w:p w14:paraId="0D000000">
      <w:pPr>
        <w:pStyle w:val="Style_1"/>
        <w:spacing w:before="59"/>
        <w:ind w:right="140"/>
      </w:pPr>
      <w:r>
        <w:t>Лучше заранее подготовить информационные памятки с общими требованиями к поведению в общественных местах, продублировав на родном языке сотрудников. Не забудьте разъяснить работникам, что относится к общественным местам, не забыв о помещениях общего пользования в многоквартирном доме; рассказать о запрете в таких местах курения табака, потребления никотиносодержащей продукции или использования кальянов, потребления алкогольной и спиртосодержащей продукции и ответственности за нарушение этих запретов. Расскажите о правилах соблюдения общественного порядка и санитарных нормах и правилах.</w:t>
      </w:r>
    </w:p>
    <w:p w14:paraId="0E000000">
      <w:pPr>
        <w:pStyle w:val="Style_1"/>
        <w:spacing w:before="62"/>
        <w:ind/>
      </w:pPr>
      <w:r>
        <w:t>Чтобы избежать равнодушие и настороженность со стороны иностранных работников, можно спланировать мероприятия, с помощью которых произойдет социализация иностранцев. В процессе таких активностей люди из молчаливых и настораживающих начинают воспринимать друг друга как личностей – это сближает и обогащает общение представителей разных культур.</w:t>
      </w:r>
    </w:p>
    <w:p w14:paraId="0F000000">
      <w:pPr>
        <w:pStyle w:val="Style_1"/>
        <w:spacing w:before="59"/>
        <w:ind w:right="140"/>
      </w:pPr>
      <w:r>
        <w:rPr>
          <w:b w:val="1"/>
        </w:rPr>
        <w:t xml:space="preserve">Культурная адаптация. </w:t>
      </w:r>
      <w:r>
        <w:t>Иностранец – носитель своей культуры и навсегда останется таковым. Но работая в России, ему будет полезно познакомиться с местными культурными традициями, ценностями, стереотипами и нормами поведения людей. Насколько быстро он привыкнет к культуре, зависит в большой степени от уровня толерантности в компании, в которой человек работает.</w:t>
      </w:r>
    </w:p>
    <w:p w14:paraId="10000000">
      <w:pPr>
        <w:pStyle w:val="Style_1"/>
        <w:spacing w:before="60"/>
        <w:ind w:right="147"/>
      </w:pPr>
      <w:r>
        <w:t xml:space="preserve">Работников компании следует заранее настроить, что они будут работать вместе с людьми других культурных традиций и нужно быть не просто терпимыми, а помогать коллегам преодолеть различия и найти общее. Ведь если отношения с коллективом не сложатся, у человека будет психологический дискомфорт и тут уже не до продуктивной </w:t>
      </w:r>
      <w:r>
        <w:rPr>
          <w:spacing w:val="-2"/>
        </w:rPr>
        <w:t>работы.</w:t>
      </w:r>
    </w:p>
    <w:p w14:paraId="11000000">
      <w:pPr>
        <w:pStyle w:val="Style_1"/>
      </w:pPr>
      <w:r>
        <w:t>Хорошая идея – назначать кураторов (волонтеров) для небольших групп иностранных работников. Хотя бы первые месяцы такой человек будет отвечать на вопросы, что принято,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недопустимо</w:t>
      </w:r>
      <w:r>
        <w:rPr>
          <w:spacing w:val="-4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публично.</w:t>
      </w:r>
      <w:r>
        <w:rPr>
          <w:spacing w:val="-4"/>
        </w:rPr>
        <w:t xml:space="preserve"> </w:t>
      </w:r>
      <w:r>
        <w:t>Куратор (волонтер)</w:t>
      </w:r>
      <w:r>
        <w:rPr>
          <w:spacing w:val="-4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работнику</w:t>
      </w:r>
      <w:r>
        <w:rPr>
          <w:spacing w:val="-7"/>
        </w:rPr>
        <w:t xml:space="preserve"> </w:t>
      </w:r>
      <w:r>
        <w:t>разобраться</w:t>
      </w:r>
      <w:r>
        <w:rPr>
          <w:spacing w:val="-4"/>
        </w:rPr>
        <w:t xml:space="preserve"> </w:t>
      </w:r>
      <w:r>
        <w:t>в конкретных жизненных ситуациях. Объяснит, почему россияне в определенный момент поступают так или иначе. Здорово, если волонтер подскажет иностранцу, какие фильмы посмотреть, какую музыку послушать, какие картины увидеть, чтобы лучше понять страну и ее жителей.</w:t>
      </w:r>
    </w:p>
    <w:p w14:paraId="12000000">
      <w:pPr>
        <w:pStyle w:val="Style_2"/>
        <w:spacing w:before="68"/>
        <w:ind w:firstLine="0" w:left="2282"/>
      </w:pPr>
      <w:r>
        <w:t>Основные</w:t>
      </w:r>
      <w:r>
        <w:rPr>
          <w:spacing w:val="-9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российском</w:t>
      </w:r>
      <w:r>
        <w:rPr>
          <w:spacing w:val="-10"/>
        </w:rPr>
        <w:t xml:space="preserve"> </w:t>
      </w:r>
      <w:r>
        <w:rPr>
          <w:spacing w:val="-2"/>
        </w:rPr>
        <w:t>обществе.</w:t>
      </w:r>
    </w:p>
    <w:p w14:paraId="13000000">
      <w:pPr>
        <w:pStyle w:val="Style_3"/>
        <w:numPr>
          <w:ilvl w:val="0"/>
          <w:numId w:val="1"/>
        </w:numPr>
        <w:tabs>
          <w:tab w:leader="none" w:pos="1273" w:val="left"/>
        </w:tabs>
        <w:spacing w:after="0" w:before="53" w:line="240" w:lineRule="auto"/>
        <w:ind w:firstLine="557" w:left="160" w:right="174"/>
        <w:jc w:val="both"/>
        <w:rPr>
          <w:sz w:val="26"/>
        </w:rPr>
      </w:pPr>
      <w:r>
        <w:rPr>
          <w:sz w:val="26"/>
        </w:rPr>
        <w:t>проживая по соседству с местными жителями для поддержания доброжелательных отношений нужно соблюдать чистоту и порядок в общественных местах и месте вашего проживания;</w:t>
      </w:r>
    </w:p>
    <w:p w14:paraId="14000000">
      <w:pPr>
        <w:pStyle w:val="Style_3"/>
        <w:numPr>
          <w:ilvl w:val="0"/>
          <w:numId w:val="1"/>
        </w:numPr>
        <w:tabs>
          <w:tab w:leader="none" w:pos="1273" w:val="left"/>
        </w:tabs>
        <w:spacing w:after="0" w:before="59" w:line="240" w:lineRule="auto"/>
        <w:ind w:firstLine="557" w:left="160" w:right="166"/>
        <w:jc w:val="both"/>
        <w:rPr>
          <w:sz w:val="26"/>
        </w:rPr>
      </w:pPr>
      <w:r>
        <w:rPr>
          <w:sz w:val="26"/>
        </w:rPr>
        <w:t>в российской культуре принято уважительное отношение не только к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старшим по возрасту людям, но и к женщинам. Женщины имеют равные права с мужчинами и активно участвуют в общественной жизни, но все же принято, чтобы мужчины выражали к ним особое уважение, например, уступали им дорогу или место в транспорте. Пренебрежение данными правилами вызывает негативную реакцию </w:t>
      </w:r>
      <w:r>
        <w:rPr>
          <w:spacing w:val="-2"/>
          <w:sz w:val="26"/>
        </w:rPr>
        <w:t>окружающих;</w:t>
      </w:r>
    </w:p>
    <w:p w14:paraId="15000000">
      <w:pPr>
        <w:pStyle w:val="Style_3"/>
        <w:numPr>
          <w:ilvl w:val="0"/>
          <w:numId w:val="1"/>
        </w:numPr>
        <w:tabs>
          <w:tab w:leader="none" w:pos="1273" w:val="left"/>
        </w:tabs>
        <w:spacing w:after="0" w:before="80" w:line="240" w:lineRule="auto"/>
        <w:ind w:firstLine="557" w:left="160" w:right="154"/>
        <w:jc w:val="both"/>
        <w:rPr>
          <w:sz w:val="26"/>
        </w:rPr>
      </w:pPr>
      <w:r>
        <w:rPr>
          <w:sz w:val="26"/>
        </w:rPr>
        <w:t>неприличным поведением считается громкая речь в публичных местах: парках,</w:t>
      </w:r>
      <w:r>
        <w:rPr>
          <w:spacing w:val="-2"/>
          <w:sz w:val="26"/>
        </w:rPr>
        <w:t xml:space="preserve"> </w:t>
      </w:r>
      <w:r>
        <w:rPr>
          <w:sz w:val="26"/>
        </w:rPr>
        <w:t>кафе,</w:t>
      </w:r>
      <w:r>
        <w:rPr>
          <w:spacing w:val="-1"/>
          <w:sz w:val="26"/>
        </w:rPr>
        <w:t xml:space="preserve"> </w:t>
      </w:r>
      <w:r>
        <w:rPr>
          <w:sz w:val="26"/>
        </w:rPr>
        <w:t>кинотеатрах,</w:t>
      </w:r>
      <w:r>
        <w:rPr>
          <w:spacing w:val="-2"/>
          <w:sz w:val="26"/>
        </w:rPr>
        <w:t xml:space="preserve"> </w:t>
      </w:r>
      <w:r>
        <w:rPr>
          <w:sz w:val="26"/>
        </w:rPr>
        <w:t>на улице,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общественном</w:t>
      </w:r>
      <w:r>
        <w:rPr>
          <w:spacing w:val="-2"/>
          <w:sz w:val="26"/>
        </w:rPr>
        <w:t xml:space="preserve"> </w:t>
      </w:r>
      <w:r>
        <w:rPr>
          <w:sz w:val="26"/>
        </w:rPr>
        <w:t>транспорте.</w:t>
      </w:r>
      <w:r>
        <w:rPr>
          <w:spacing w:val="-1"/>
          <w:sz w:val="26"/>
        </w:rPr>
        <w:t xml:space="preserve"> </w:t>
      </w:r>
      <w:r>
        <w:rPr>
          <w:sz w:val="26"/>
        </w:rPr>
        <w:t>Вызывает</w:t>
      </w:r>
      <w:r>
        <w:rPr>
          <w:spacing w:val="-1"/>
          <w:sz w:val="26"/>
        </w:rPr>
        <w:t xml:space="preserve"> </w:t>
      </w:r>
      <w:r>
        <w:rPr>
          <w:sz w:val="26"/>
        </w:rPr>
        <w:t>негативную реакцию окружающих громкая национальная музыка, доносящаяся из окон автомобилей, квартиры или дома;</w:t>
      </w:r>
    </w:p>
    <w:p w14:paraId="16000000">
      <w:pPr>
        <w:pStyle w:val="Style_3"/>
        <w:numPr>
          <w:ilvl w:val="0"/>
          <w:numId w:val="1"/>
        </w:numPr>
        <w:tabs>
          <w:tab w:leader="none" w:pos="1273" w:val="left"/>
        </w:tabs>
        <w:spacing w:after="0" w:before="62" w:line="240" w:lineRule="auto"/>
        <w:ind w:firstLine="557" w:left="160" w:right="147"/>
        <w:jc w:val="both"/>
        <w:rPr>
          <w:sz w:val="26"/>
        </w:rPr>
      </w:pPr>
      <w:r>
        <w:rPr>
          <w:sz w:val="26"/>
        </w:rPr>
        <w:t xml:space="preserve">в русской культуре не приняты жертвоприношения с причинением смерти животным. Умерщвления жертвенных животных, осуществляемые последователями ислама, не допускаются там, где это могут увидеть дети, соседи, а также в публичных </w:t>
      </w:r>
      <w:r>
        <w:rPr>
          <w:spacing w:val="-2"/>
          <w:sz w:val="26"/>
        </w:rPr>
        <w:t>местах;</w:t>
      </w:r>
    </w:p>
    <w:p w14:paraId="17000000">
      <w:pPr>
        <w:pStyle w:val="Style_3"/>
        <w:numPr>
          <w:ilvl w:val="0"/>
          <w:numId w:val="1"/>
        </w:numPr>
        <w:tabs>
          <w:tab w:leader="none" w:pos="1270" w:val="left"/>
        </w:tabs>
        <w:spacing w:after="0" w:before="60" w:line="240" w:lineRule="auto"/>
        <w:ind w:firstLine="557" w:left="157" w:right="152"/>
        <w:jc w:val="both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присутствии местных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жителей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даже</w:t>
      </w:r>
      <w:r>
        <w:rPr>
          <w:spacing w:val="-2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собой</w:t>
      </w:r>
      <w:r>
        <w:rPr>
          <w:spacing w:val="-2"/>
          <w:sz w:val="26"/>
        </w:rPr>
        <w:t xml:space="preserve"> </w:t>
      </w:r>
      <w:r>
        <w:rPr>
          <w:sz w:val="26"/>
        </w:rPr>
        <w:t>желательно вести</w:t>
      </w:r>
      <w:r>
        <w:rPr>
          <w:spacing w:val="-2"/>
          <w:sz w:val="26"/>
        </w:rPr>
        <w:t xml:space="preserve"> </w:t>
      </w:r>
      <w:r>
        <w:rPr>
          <w:sz w:val="26"/>
        </w:rPr>
        <w:t>разговор на русском языке;</w:t>
      </w:r>
    </w:p>
    <w:p w14:paraId="18000000">
      <w:pPr>
        <w:pStyle w:val="Style_3"/>
        <w:numPr>
          <w:ilvl w:val="0"/>
          <w:numId w:val="1"/>
        </w:numPr>
        <w:tabs>
          <w:tab w:leader="none" w:pos="1273" w:val="left"/>
        </w:tabs>
        <w:spacing w:after="0" w:before="59" w:line="240" w:lineRule="auto"/>
        <w:ind w:firstLine="557" w:left="160" w:right="152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встрече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незнакомыми</w:t>
      </w:r>
      <w:r>
        <w:rPr>
          <w:spacing w:val="-2"/>
          <w:sz w:val="26"/>
        </w:rPr>
        <w:t xml:space="preserve"> </w:t>
      </w:r>
      <w:r>
        <w:rPr>
          <w:sz w:val="26"/>
        </w:rPr>
        <w:t>людьми</w:t>
      </w:r>
      <w:r>
        <w:rPr>
          <w:spacing w:val="-2"/>
          <w:sz w:val="26"/>
        </w:rPr>
        <w:t xml:space="preserve"> </w:t>
      </w:r>
      <w:r>
        <w:rPr>
          <w:sz w:val="26"/>
        </w:rPr>
        <w:t>на улице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3"/>
          <w:sz w:val="26"/>
        </w:rPr>
        <w:t xml:space="preserve"> </w:t>
      </w:r>
      <w:r>
        <w:rPr>
          <w:sz w:val="26"/>
        </w:rPr>
        <w:t>пристально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смотреть в упор в глаза, это может быть расценено как проявление вызывающего поведения или агрессии. Однако при индивидуальном общении, особенно при ответах на вопрос в сложной жизненной ситуации, ценится прямой взгляд, без отведения глаз;</w:t>
      </w:r>
    </w:p>
    <w:p w14:paraId="19000000">
      <w:pPr>
        <w:pStyle w:val="Style_3"/>
        <w:numPr>
          <w:ilvl w:val="0"/>
          <w:numId w:val="1"/>
        </w:numPr>
        <w:tabs>
          <w:tab w:leader="none" w:pos="1301" w:val="left"/>
        </w:tabs>
        <w:spacing w:after="0" w:before="60" w:line="240" w:lineRule="auto"/>
        <w:ind w:firstLine="586" w:left="140" w:right="201"/>
        <w:jc w:val="both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2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2"/>
          <w:sz w:val="26"/>
        </w:rPr>
        <w:t xml:space="preserve"> </w:t>
      </w:r>
      <w:r>
        <w:rPr>
          <w:sz w:val="26"/>
        </w:rPr>
        <w:t>неловкой</w:t>
      </w:r>
      <w:r>
        <w:rPr>
          <w:spacing w:val="-2"/>
          <w:sz w:val="26"/>
        </w:rPr>
        <w:t xml:space="preserve"> </w:t>
      </w:r>
      <w:r>
        <w:rPr>
          <w:sz w:val="26"/>
        </w:rPr>
        <w:t>паузы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встрече взглядами</w:t>
      </w:r>
      <w:r>
        <w:rPr>
          <w:spacing w:val="-2"/>
          <w:sz w:val="26"/>
        </w:rPr>
        <w:t xml:space="preserve"> </w:t>
      </w:r>
      <w:r>
        <w:rPr>
          <w:sz w:val="26"/>
        </w:rPr>
        <w:t>с незнакомым человеком, для разрядки эмоционально напряженной ситуации желательно с доброжелательным выражением лица произнести нейтральную вежливую фразу, например, поздороваться, или улыбнуться. Подобное поведение не считается чем-то самоунижительным, а, наоборот, свидетельствует об уверенности в себе и наличии жизненной мудрости.</w:t>
      </w:r>
    </w:p>
    <w:p w14:paraId="1A000000">
      <w:pPr>
        <w:pStyle w:val="Style_2"/>
        <w:spacing w:before="69"/>
        <w:ind w:firstLine="0" w:left="1766"/>
      </w:pPr>
      <w:r>
        <w:t>Всем</w:t>
      </w:r>
      <w:r>
        <w:rPr>
          <w:spacing w:val="-11"/>
        </w:rPr>
        <w:t xml:space="preserve"> </w:t>
      </w:r>
      <w:r>
        <w:t>гражданам,</w:t>
      </w:r>
      <w:r>
        <w:rPr>
          <w:spacing w:val="-11"/>
        </w:rPr>
        <w:t xml:space="preserve"> </w:t>
      </w:r>
      <w:r>
        <w:t>проживающим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rPr>
          <w:spacing w:val="-2"/>
        </w:rPr>
        <w:t>запрещается:</w:t>
      </w:r>
    </w:p>
    <w:p w14:paraId="1B000000">
      <w:pPr>
        <w:pStyle w:val="Style_3"/>
        <w:numPr>
          <w:ilvl w:val="0"/>
          <w:numId w:val="1"/>
        </w:numPr>
        <w:tabs>
          <w:tab w:leader="none" w:pos="1301" w:val="left"/>
        </w:tabs>
        <w:spacing w:after="0" w:before="51" w:line="240" w:lineRule="auto"/>
        <w:ind w:firstLine="586" w:left="140" w:right="204"/>
        <w:jc w:val="both"/>
        <w:rPr>
          <w:sz w:val="26"/>
        </w:rPr>
      </w:pPr>
      <w:r>
        <w:rPr>
          <w:sz w:val="26"/>
        </w:rPr>
        <w:t>курение табака и насвая в общественных местах, в том числе на остановках автотранспорта, детских площадках, лестничных клетках и т.д.;</w:t>
      </w:r>
    </w:p>
    <w:p w14:paraId="1C000000">
      <w:pPr>
        <w:pStyle w:val="Style_3"/>
        <w:numPr>
          <w:ilvl w:val="0"/>
          <w:numId w:val="1"/>
        </w:numPr>
        <w:tabs>
          <w:tab w:leader="none" w:pos="1301" w:val="left"/>
        </w:tabs>
        <w:spacing w:after="0" w:before="60" w:line="240" w:lineRule="auto"/>
        <w:ind w:firstLine="586" w:left="140" w:right="211"/>
        <w:jc w:val="both"/>
        <w:rPr>
          <w:sz w:val="26"/>
        </w:rPr>
      </w:pPr>
      <w:r>
        <w:rPr>
          <w:sz w:val="26"/>
        </w:rPr>
        <w:t>распитие спиртных напитков в публичных местах, в том числе на улице, в парках. Нахождение в публичных местах в состоянии алкогольного опьянения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вызывает общественное осуждение;</w:t>
      </w:r>
    </w:p>
    <w:p w14:paraId="1D000000">
      <w:pPr>
        <w:pStyle w:val="Style_3"/>
        <w:numPr>
          <w:ilvl w:val="0"/>
          <w:numId w:val="1"/>
        </w:numPr>
        <w:tabs>
          <w:tab w:leader="none" w:pos="1301" w:val="left"/>
        </w:tabs>
        <w:spacing w:after="0" w:before="61" w:line="240" w:lineRule="auto"/>
        <w:ind w:hanging="575" w:left="1301" w:right="0"/>
        <w:jc w:val="both"/>
        <w:rPr>
          <w:sz w:val="26"/>
        </w:rPr>
      </w:pPr>
      <w:r>
        <w:rPr>
          <w:spacing w:val="-2"/>
          <w:sz w:val="26"/>
        </w:rPr>
        <w:t>употребление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наркотических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веществ.</w:t>
      </w:r>
    </w:p>
    <w:p w14:paraId="1E000000">
      <w:pPr>
        <w:pStyle w:val="Style_1"/>
        <w:ind w:firstLine="576" w:left="150" w:right="200"/>
      </w:pPr>
      <w:r>
        <w:t xml:space="preserve">Такое поведение признается правонарушением и влечет административную </w:t>
      </w:r>
      <w:r>
        <w:rPr>
          <w:spacing w:val="-2"/>
        </w:rPr>
        <w:t>ответственность.</w:t>
      </w:r>
    </w:p>
    <w:p w14:paraId="1F000000">
      <w:pPr>
        <w:pStyle w:val="Style_2"/>
      </w:pPr>
      <w:r>
        <w:t>Правила</w:t>
      </w:r>
      <w:r>
        <w:rPr>
          <w:spacing w:val="-15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возникновения</w:t>
      </w:r>
      <w:r>
        <w:rPr>
          <w:spacing w:val="-13"/>
        </w:rPr>
        <w:t xml:space="preserve"> </w:t>
      </w:r>
      <w:r>
        <w:t>конфликтной</w:t>
      </w:r>
      <w:r>
        <w:rPr>
          <w:spacing w:val="-15"/>
        </w:rPr>
        <w:t xml:space="preserve"> </w:t>
      </w:r>
      <w:r>
        <w:rPr>
          <w:spacing w:val="-2"/>
        </w:rPr>
        <w:t>ситуации:</w:t>
      </w:r>
    </w:p>
    <w:p w14:paraId="20000000">
      <w:pPr>
        <w:pStyle w:val="Style_3"/>
        <w:numPr>
          <w:ilvl w:val="0"/>
          <w:numId w:val="1"/>
        </w:numPr>
        <w:tabs>
          <w:tab w:leader="none" w:pos="1301" w:val="left"/>
        </w:tabs>
        <w:spacing w:after="0" w:before="51" w:line="240" w:lineRule="auto"/>
        <w:ind w:firstLine="586" w:left="140" w:right="173"/>
        <w:jc w:val="both"/>
        <w:rPr>
          <w:sz w:val="26"/>
        </w:rPr>
      </w:pPr>
      <w:r>
        <w:rPr>
          <w:sz w:val="26"/>
        </w:rPr>
        <w:t>в случае возникновения бытового конфликта не пытайтесь решить его силой или агрессивным воздействием, не пытайтесь собирать для этого группу поддержки. Ответная реакция по своей силе может быть непредсказуема. Необходимо учитывать, что у незнакомого местного жителя могут появиться многочисленные сторонники, готовые принять участие в развитии конфликта. Помните, что среди любых народов, встречаются непорядочные, некультурные, агрессивные люди. Их неправильное поведение обществом порицается. В случае аналогичного поведения, даже в ответ на неправомерные действия, вы встанете на один уровень с нарушителями общественного порядка и вызовете общественное порицание вне зависимости от того, кто изначально виноват в произошедшем конфликте;</w:t>
      </w:r>
    </w:p>
    <w:p w14:paraId="21000000">
      <w:pPr>
        <w:pStyle w:val="Style_3"/>
        <w:numPr>
          <w:ilvl w:val="0"/>
          <w:numId w:val="1"/>
        </w:numPr>
        <w:tabs>
          <w:tab w:leader="none" w:pos="1301" w:val="left"/>
        </w:tabs>
        <w:spacing w:after="0" w:before="61" w:line="240" w:lineRule="auto"/>
        <w:ind w:firstLine="586" w:left="140" w:right="161"/>
        <w:jc w:val="both"/>
        <w:rPr>
          <w:sz w:val="26"/>
        </w:rPr>
      </w:pPr>
      <w:r>
        <w:rPr>
          <w:sz w:val="26"/>
        </w:rPr>
        <w:t>в случае возникновения продолжительного бытового конфликта попытайтесь воспользоваться для его разрешения помощью нейтрального посредника. В качестве такового может выступить представитель местного населения, который может за вас поручиться (к примеру, работодатель или сосед по месту жительства, с которым вам удалось наладить дружеские, доверительные отношения), лидер национальной общественной организации;</w:t>
      </w:r>
    </w:p>
    <w:p w14:paraId="22000000">
      <w:pPr>
        <w:pStyle w:val="Style_3"/>
        <w:numPr>
          <w:ilvl w:val="0"/>
          <w:numId w:val="1"/>
        </w:numPr>
        <w:tabs>
          <w:tab w:leader="none" w:pos="1301" w:val="left"/>
        </w:tabs>
        <w:spacing w:after="0" w:before="62" w:line="240" w:lineRule="auto"/>
        <w:ind w:firstLine="586" w:left="140" w:right="172"/>
        <w:jc w:val="both"/>
        <w:rPr>
          <w:sz w:val="26"/>
        </w:rPr>
      </w:pPr>
      <w:r>
        <w:rPr>
          <w:sz w:val="26"/>
        </w:rPr>
        <w:t>в случае угрозы жизни, здоровью, оскорбления национального достоинства, сразу же обращайтесь за помощью в правоохранительные органы.</w:t>
      </w:r>
    </w:p>
    <w:sectPr>
      <w:type w:val="continuous"/>
      <w:pgSz w:h="16840" w:orient="portrait" w:w="11910"/>
      <w:pgMar w:bottom="280" w:left="992" w:right="708" w:top="4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•"/>
      <w:lvlJc w:val="left"/>
      <w:pPr>
        <w:ind w:hanging="557" w:left="160"/>
      </w:pPr>
      <w:rPr>
        <w:rFonts w:ascii="Microsoft Sans Serif" w:hAnsi="Microsoft Sans Serif"/>
        <w:b w:val="0"/>
        <w:i w:val="0"/>
        <w:spacing w:val="0"/>
        <w:sz w:val="26"/>
      </w:rPr>
    </w:lvl>
    <w:lvl w:ilvl="1">
      <w:start w:val="0"/>
      <w:numFmt w:val="bullet"/>
      <w:lvlText w:val="•"/>
      <w:lvlJc w:val="left"/>
      <w:pPr>
        <w:ind w:hanging="557" w:left="1164"/>
      </w:pPr>
    </w:lvl>
    <w:lvl w:ilvl="2">
      <w:start w:val="0"/>
      <w:numFmt w:val="bullet"/>
      <w:lvlText w:val="•"/>
      <w:lvlJc w:val="left"/>
      <w:pPr>
        <w:ind w:hanging="557" w:left="2169"/>
      </w:pPr>
    </w:lvl>
    <w:lvl w:ilvl="3">
      <w:start w:val="0"/>
      <w:numFmt w:val="bullet"/>
      <w:lvlText w:val="•"/>
      <w:lvlJc w:val="left"/>
      <w:pPr>
        <w:ind w:hanging="557" w:left="3173"/>
      </w:pPr>
    </w:lvl>
    <w:lvl w:ilvl="4">
      <w:start w:val="0"/>
      <w:numFmt w:val="bullet"/>
      <w:lvlText w:val="•"/>
      <w:lvlJc w:val="left"/>
      <w:pPr>
        <w:ind w:hanging="557" w:left="4178"/>
      </w:pPr>
    </w:lvl>
    <w:lvl w:ilvl="5">
      <w:start w:val="0"/>
      <w:numFmt w:val="bullet"/>
      <w:lvlText w:val="•"/>
      <w:lvlJc w:val="left"/>
      <w:pPr>
        <w:ind w:hanging="557" w:left="5183"/>
      </w:pPr>
    </w:lvl>
    <w:lvl w:ilvl="6">
      <w:start w:val="0"/>
      <w:numFmt w:val="bullet"/>
      <w:lvlText w:val="•"/>
      <w:lvlJc w:val="left"/>
      <w:pPr>
        <w:ind w:hanging="557" w:left="6187"/>
      </w:pPr>
    </w:lvl>
    <w:lvl w:ilvl="7">
      <w:start w:val="0"/>
      <w:numFmt w:val="bullet"/>
      <w:lvlText w:val="•"/>
      <w:lvlJc w:val="left"/>
      <w:pPr>
        <w:ind w:hanging="557" w:left="7192"/>
      </w:pPr>
    </w:lvl>
    <w:lvl w:ilvl="8">
      <w:start w:val="0"/>
      <w:numFmt w:val="bullet"/>
      <w:lvlText w:val="•"/>
      <w:lvlJc w:val="left"/>
      <w:pPr>
        <w:ind w:hanging="557" w:left="819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able Paragraph"/>
    <w:basedOn w:val="Style_4"/>
    <w:link w:val="Style_12_ch"/>
  </w:style>
  <w:style w:styleId="Style_12_ch" w:type="character">
    <w:name w:val="Table Paragraph"/>
    <w:basedOn w:val="Style_4_ch"/>
    <w:link w:val="Style_12"/>
  </w:style>
  <w:style w:styleId="Style_3" w:type="paragraph">
    <w:name w:val="List Paragraph"/>
    <w:basedOn w:val="Style_4"/>
    <w:link w:val="Style_3_ch"/>
    <w:pPr>
      <w:spacing w:before="60"/>
      <w:ind w:firstLine="557" w:left="140" w:right="152"/>
      <w:jc w:val="both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heading 1"/>
    <w:basedOn w:val="Style_4"/>
    <w:link w:val="Style_2_ch"/>
    <w:uiPriority w:val="9"/>
    <w:qFormat/>
    <w:pPr>
      <w:spacing w:before="67"/>
      <w:ind w:firstLine="0" w:left="1120"/>
      <w:jc w:val="both"/>
      <w:outlineLvl w:val="0"/>
    </w:pPr>
    <w:rPr>
      <w:rFonts w:ascii="Times New Roman" w:hAnsi="Times New Roman"/>
      <w:b w:val="1"/>
      <w:i w:val="1"/>
      <w:sz w:val="26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i w:val="1"/>
      <w:sz w:val="2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pPr>
      <w:spacing w:before="61"/>
      <w:ind w:firstLine="708" w:left="140" w:right="142"/>
      <w:jc w:val="both"/>
    </w:pPr>
    <w:rPr>
      <w:rFonts w:ascii="Times New Roman" w:hAnsi="Times New Roman"/>
      <w:sz w:val="26"/>
    </w:rPr>
  </w:style>
  <w:style w:styleId="Style_1_ch" w:type="character">
    <w:name w:val="Body Text"/>
    <w:basedOn w:val="Style_4_ch"/>
    <w:link w:val="Style_1"/>
    <w:rPr>
      <w:rFonts w:ascii="Times New Roman" w:hAnsi="Times New Roman"/>
      <w:sz w:val="26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2025-11-26T07:42:43Z</dcterms:modified>
</cp:coreProperties>
</file>