
<file path=[Content_Types].xml><?xml version="1.0" encoding="utf-8"?>
<Types xmlns="http://schemas.openxmlformats.org/package/2006/content-types">
  <Default ContentType="image/png" Extension="png"/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widowControl w:val="0"/>
        <w:spacing w:after="0" w:line="240" w:lineRule="auto"/>
        <w:ind/>
        <w:rPr>
          <w:rFonts w:ascii="Times New Roman" w:hAnsi="Times New Roman"/>
          <w:b w:val="1"/>
          <w:sz w:val="28"/>
        </w:rPr>
      </w:pPr>
      <w:bookmarkStart w:id="1" w:name="_GoBack"/>
      <w:bookmarkEnd w:id="1"/>
    </w:p>
    <w:p w14:paraId="0400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6"/>
        </w:rPr>
        <w:t xml:space="preserve">ГЛАВНОЕ УПРАВЛЕНИЕ МЧС РОССИИ </w:t>
      </w:r>
      <w:r>
        <w:rPr>
          <w:rFonts w:ascii="Times New Roman" w:hAnsi="Times New Roman"/>
          <w:b w:val="1"/>
          <w:sz w:val="36"/>
        </w:rPr>
        <w:br/>
      </w:r>
      <w:r>
        <w:rPr>
          <w:rFonts w:ascii="Times New Roman" w:hAnsi="Times New Roman"/>
          <w:b w:val="1"/>
          <w:sz w:val="36"/>
        </w:rPr>
        <w:t>ПО РОСТОВСКОЙ ОБЛАСТИ</w:t>
      </w:r>
    </w:p>
    <w:p w14:paraId="0500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600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7000000">
      <w:pPr>
        <w:widowControl w:val="0"/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drawing>
          <wp:inline>
            <wp:extent cx="3140765" cy="3511855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3140765" cy="351185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8000000">
      <w:pPr>
        <w:widowControl w:val="0"/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0900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A00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B00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C00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 xml:space="preserve">МЕТОДИЧЕСКИЕ РЕКОМЕНДАЦИИ </w:t>
      </w:r>
    </w:p>
    <w:p w14:paraId="0D00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 xml:space="preserve">по </w:t>
      </w:r>
      <w:r>
        <w:rPr>
          <w:rFonts w:ascii="Times New Roman" w:hAnsi="Times New Roman"/>
          <w:b w:val="1"/>
          <w:sz w:val="32"/>
        </w:rPr>
        <w:t xml:space="preserve">укрытию населения в </w:t>
      </w:r>
      <w:r>
        <w:rPr>
          <w:rFonts w:ascii="Times New Roman" w:hAnsi="Times New Roman"/>
          <w:b w:val="1"/>
          <w:sz w:val="32"/>
        </w:rPr>
        <w:t xml:space="preserve">защитных сооружениях гражданской обороны, </w:t>
      </w:r>
      <w:r>
        <w:rPr>
          <w:rFonts w:ascii="Times New Roman" w:hAnsi="Times New Roman"/>
          <w:b w:val="1"/>
          <w:sz w:val="32"/>
        </w:rPr>
        <w:t xml:space="preserve">заглубленных и других помещениях </w:t>
      </w:r>
    </w:p>
    <w:p w14:paraId="0E000000">
      <w:pPr>
        <w:widowControl w:val="0"/>
        <w:spacing w:after="0" w:line="240" w:lineRule="auto"/>
        <w:ind/>
        <w:jc w:val="center"/>
        <w:rPr>
          <w:rFonts w:ascii="Arial" w:hAnsi="Arial"/>
          <w:sz w:val="32"/>
        </w:rPr>
      </w:pPr>
      <w:r>
        <w:rPr>
          <w:rFonts w:ascii="Times New Roman" w:hAnsi="Times New Roman"/>
          <w:b w:val="1"/>
          <w:sz w:val="32"/>
        </w:rPr>
        <w:t>подземного пространства</w:t>
      </w:r>
    </w:p>
    <w:p w14:paraId="0F000000">
      <w:pPr>
        <w:widowControl w:val="0"/>
        <w:spacing w:after="0" w:line="240" w:lineRule="auto"/>
        <w:ind/>
        <w:jc w:val="center"/>
        <w:rPr>
          <w:rFonts w:ascii="Arial" w:hAnsi="Arial"/>
          <w:sz w:val="28"/>
        </w:rPr>
      </w:pPr>
    </w:p>
    <w:p w14:paraId="10000000">
      <w:pPr>
        <w:widowControl w:val="0"/>
        <w:spacing w:after="0" w:line="240" w:lineRule="auto"/>
        <w:ind/>
        <w:jc w:val="center"/>
        <w:rPr>
          <w:rFonts w:ascii="Arial" w:hAnsi="Arial"/>
          <w:sz w:val="28"/>
        </w:rPr>
      </w:pPr>
    </w:p>
    <w:p w14:paraId="11000000">
      <w:pPr>
        <w:widowControl w:val="0"/>
        <w:spacing w:after="0" w:line="240" w:lineRule="auto"/>
        <w:ind/>
        <w:jc w:val="center"/>
        <w:rPr>
          <w:rFonts w:ascii="Arial" w:hAnsi="Arial"/>
          <w:sz w:val="28"/>
        </w:rPr>
      </w:pPr>
    </w:p>
    <w:p w14:paraId="12000000">
      <w:pPr>
        <w:widowControl w:val="0"/>
        <w:spacing w:after="0" w:line="240" w:lineRule="auto"/>
        <w:ind/>
        <w:jc w:val="center"/>
        <w:rPr>
          <w:rFonts w:ascii="Arial" w:hAnsi="Arial"/>
          <w:sz w:val="28"/>
        </w:rPr>
      </w:pPr>
    </w:p>
    <w:p w14:paraId="13000000">
      <w:pPr>
        <w:widowControl w:val="0"/>
        <w:spacing w:after="0" w:line="240" w:lineRule="auto"/>
        <w:ind/>
        <w:jc w:val="center"/>
        <w:rPr>
          <w:rFonts w:ascii="Arial" w:hAnsi="Arial"/>
          <w:sz w:val="28"/>
        </w:rPr>
      </w:pPr>
    </w:p>
    <w:p w14:paraId="14000000">
      <w:pPr>
        <w:widowControl w:val="0"/>
        <w:spacing w:after="0" w:line="240" w:lineRule="auto"/>
        <w:ind/>
        <w:jc w:val="center"/>
        <w:rPr>
          <w:rFonts w:ascii="Arial" w:hAnsi="Arial"/>
          <w:sz w:val="28"/>
        </w:rPr>
      </w:pPr>
    </w:p>
    <w:p w14:paraId="15000000">
      <w:pPr>
        <w:widowControl w:val="0"/>
        <w:spacing w:after="0" w:line="240" w:lineRule="auto"/>
        <w:ind/>
        <w:jc w:val="center"/>
        <w:rPr>
          <w:rFonts w:ascii="Arial" w:hAnsi="Arial"/>
          <w:sz w:val="28"/>
        </w:rPr>
      </w:pPr>
    </w:p>
    <w:p w14:paraId="16000000">
      <w:pPr>
        <w:widowControl w:val="0"/>
        <w:spacing w:after="0" w:line="240" w:lineRule="auto"/>
        <w:ind/>
        <w:rPr>
          <w:rFonts w:ascii="Arial" w:hAnsi="Arial"/>
          <w:sz w:val="28"/>
        </w:rPr>
      </w:pPr>
    </w:p>
    <w:p w14:paraId="17000000">
      <w:pPr>
        <w:widowControl w:val="0"/>
        <w:spacing w:after="0" w:line="240" w:lineRule="auto"/>
        <w:ind/>
        <w:rPr>
          <w:rFonts w:ascii="Arial" w:hAnsi="Arial"/>
          <w:sz w:val="28"/>
        </w:rPr>
      </w:pPr>
    </w:p>
    <w:p w14:paraId="18000000">
      <w:pPr>
        <w:widowControl w:val="0"/>
        <w:spacing w:after="0" w:line="240" w:lineRule="auto"/>
        <w:ind/>
        <w:rPr>
          <w:rFonts w:ascii="Times New Roman" w:hAnsi="Times New Roman"/>
          <w:sz w:val="28"/>
        </w:rPr>
      </w:pPr>
    </w:p>
    <w:p w14:paraId="19000000">
      <w:pPr>
        <w:widowControl w:val="0"/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1A000000">
      <w:pPr>
        <w:widowControl w:val="0"/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Ростов-на-Дону</w:t>
      </w:r>
      <w:r>
        <w:rPr>
          <w:rFonts w:ascii="Times New Roman" w:hAnsi="Times New Roman"/>
          <w:sz w:val="28"/>
        </w:rPr>
        <w:t xml:space="preserve"> </w:t>
      </w:r>
    </w:p>
    <w:p w14:paraId="1B000000">
      <w:pPr>
        <w:widowControl w:val="0"/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</w:t>
      </w:r>
      <w:r>
        <w:rPr>
          <w:rFonts w:ascii="Times New Roman" w:hAnsi="Times New Roman"/>
          <w:sz w:val="28"/>
        </w:rPr>
        <w:t>22</w:t>
      </w:r>
      <w:r>
        <w:rPr>
          <w:rFonts w:ascii="Times New Roman" w:hAnsi="Times New Roman"/>
          <w:sz w:val="28"/>
        </w:rPr>
        <w:t xml:space="preserve"> г.</w:t>
      </w:r>
    </w:p>
    <w:p w14:paraId="1C000000">
      <w:pPr>
        <w:pStyle w:val="Style_3"/>
        <w:spacing w:after="0"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</w:t>
      </w:r>
    </w:p>
    <w:tbl>
      <w:tblPr>
        <w:tblStyle w:val="Style_1"/>
        <w:tblInd w:type="dxa" w:w="108"/>
        <w:tblLayout w:type="fixed"/>
      </w:tblPr>
      <w:tblGrid>
        <w:gridCol w:w="8931"/>
        <w:gridCol w:w="708"/>
      </w:tblGrid>
      <w:tr>
        <w:tc>
          <w:tcPr>
            <w:tcW w:type="dxa" w:w="8931"/>
            <w:shd w:fill="auto" w:val="clear"/>
          </w:tcPr>
          <w:p w14:paraId="1D000000">
            <w:pPr>
              <w:pStyle w:val="Style_4"/>
              <w:spacing w:line="276" w:lineRule="auto"/>
              <w:ind/>
              <w:jc w:val="both"/>
              <w:outlineLvl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1. </w:t>
            </w:r>
            <w:r>
              <w:rPr>
                <w:rFonts w:ascii="Times New Roman" w:hAnsi="Times New Roman"/>
                <w:sz w:val="28"/>
              </w:rPr>
              <w:t>Общие положения</w:t>
            </w:r>
            <w:r>
              <w:rPr>
                <w:rFonts w:ascii="Times New Roman" w:hAnsi="Times New Roman"/>
                <w:sz w:val="28"/>
              </w:rPr>
              <w:t>…………………………………………………………</w:t>
            </w:r>
          </w:p>
        </w:tc>
        <w:tc>
          <w:tcPr>
            <w:tcW w:type="dxa" w:w="708"/>
            <w:shd w:fill="auto" w:val="clear"/>
            <w:vAlign w:val="bottom"/>
          </w:tcPr>
          <w:p w14:paraId="1E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>
        <w:tc>
          <w:tcPr>
            <w:tcW w:type="dxa" w:w="8931"/>
            <w:shd w:fill="auto" w:val="clear"/>
          </w:tcPr>
          <w:p w14:paraId="1F000000">
            <w:pPr>
              <w:pStyle w:val="Style_4"/>
              <w:spacing w:line="276" w:lineRule="auto"/>
              <w:ind/>
              <w:jc w:val="both"/>
              <w:outlineLvl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2. </w:t>
            </w:r>
            <w:r>
              <w:rPr>
                <w:rFonts w:ascii="Times New Roman" w:hAnsi="Times New Roman"/>
                <w:sz w:val="28"/>
              </w:rPr>
              <w:t xml:space="preserve">Основные понятия </w:t>
            </w:r>
            <w:r>
              <w:rPr>
                <w:rFonts w:ascii="Times New Roman" w:hAnsi="Times New Roman"/>
                <w:sz w:val="28"/>
              </w:rPr>
              <w:t>и определения</w:t>
            </w:r>
            <w:r>
              <w:rPr>
                <w:rFonts w:ascii="Times New Roman" w:hAnsi="Times New Roman"/>
                <w:sz w:val="28"/>
              </w:rPr>
              <w:t>………………………………………</w:t>
            </w:r>
            <w:r>
              <w:rPr>
                <w:rFonts w:ascii="Times New Roman" w:hAnsi="Times New Roman"/>
                <w:sz w:val="28"/>
              </w:rPr>
              <w:t>..</w:t>
            </w:r>
          </w:p>
        </w:tc>
        <w:tc>
          <w:tcPr>
            <w:tcW w:type="dxa" w:w="708"/>
            <w:shd w:fill="auto" w:val="clear"/>
            <w:vAlign w:val="bottom"/>
          </w:tcPr>
          <w:p w14:paraId="20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>
        <w:trPr>
          <w:trHeight w:hRule="atLeast" w:val="489"/>
        </w:trPr>
        <w:tc>
          <w:tcPr>
            <w:tcW w:type="dxa" w:w="8931"/>
            <w:shd w:fill="auto" w:val="clear"/>
          </w:tcPr>
          <w:p w14:paraId="21000000">
            <w:pPr>
              <w:ind w:firstLine="0" w:left="34"/>
              <w:jc w:val="both"/>
              <w:rPr>
                <w:rFonts w:ascii="Times New Roman" w:hAnsi="Times New Roman"/>
                <w:spacing w:val="-1"/>
                <w:sz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3</w:t>
            </w:r>
            <w:r>
              <w:rPr>
                <w:rFonts w:ascii="Times New Roman" w:hAnsi="Times New Roman"/>
                <w:spacing w:val="-1"/>
                <w:sz w:val="28"/>
              </w:rPr>
              <w:t>. </w:t>
            </w:r>
            <w:r>
              <w:rPr>
                <w:rFonts w:ascii="Times New Roman" w:hAnsi="Times New Roman"/>
                <w:sz w:val="28"/>
              </w:rPr>
              <w:t>Полномочия органов местного самоуправления в области гражданской обороны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(по укрытию населения)</w:t>
            </w:r>
            <w:r>
              <w:rPr>
                <w:rFonts w:ascii="Times New Roman" w:hAnsi="Times New Roman"/>
                <w:sz w:val="28"/>
              </w:rPr>
              <w:t>,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нормативная правовая база </w:t>
            </w:r>
            <w:r>
              <w:rPr>
                <w:rFonts w:ascii="Times New Roman" w:hAnsi="Times New Roman"/>
                <w:sz w:val="28"/>
              </w:rPr>
              <w:t>…</w:t>
            </w:r>
            <w:r>
              <w:rPr>
                <w:rFonts w:ascii="Times New Roman" w:hAnsi="Times New Roman"/>
                <w:sz w:val="28"/>
              </w:rPr>
              <w:t>……...</w:t>
            </w:r>
            <w:r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z w:val="28"/>
              </w:rPr>
              <w:t>………………</w:t>
            </w:r>
            <w:r>
              <w:rPr>
                <w:rFonts w:ascii="Times New Roman" w:hAnsi="Times New Roman"/>
                <w:sz w:val="28"/>
              </w:rPr>
              <w:t>…………………………</w:t>
            </w:r>
            <w:r>
              <w:rPr>
                <w:rFonts w:ascii="Times New Roman" w:hAnsi="Times New Roman"/>
                <w:sz w:val="28"/>
              </w:rPr>
              <w:t>……………………...</w:t>
            </w:r>
          </w:p>
        </w:tc>
        <w:tc>
          <w:tcPr>
            <w:tcW w:type="dxa" w:w="708"/>
            <w:shd w:fill="auto" w:val="clear"/>
            <w:vAlign w:val="bottom"/>
          </w:tcPr>
          <w:p w14:paraId="22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</w:tr>
      <w:tr>
        <w:trPr>
          <w:trHeight w:hRule="atLeast" w:val="906"/>
        </w:trPr>
        <w:tc>
          <w:tcPr>
            <w:tcW w:type="dxa" w:w="8931"/>
            <w:shd w:fill="auto" w:val="clear"/>
          </w:tcPr>
          <w:p w14:paraId="23000000">
            <w:pPr>
              <w:widowControl w:val="0"/>
              <w:spacing w:after="0"/>
              <w:ind w:firstLine="0" w:left="34"/>
              <w:jc w:val="both"/>
              <w:rPr>
                <w:rFonts w:ascii="Times New Roman" w:hAnsi="Times New Roman"/>
                <w:color w:val="FF0000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  <w:r>
              <w:rPr>
                <w:rFonts w:ascii="Times New Roman" w:hAnsi="Times New Roman"/>
                <w:sz w:val="28"/>
              </w:rPr>
              <w:t>. </w:t>
            </w:r>
            <w:r>
              <w:rPr>
                <w:rFonts w:ascii="Times New Roman" w:hAnsi="Times New Roman"/>
                <w:sz w:val="28"/>
              </w:rPr>
              <w:t>Рекомендации по укрытию населения в заглубленных и других пом</w:t>
            </w:r>
            <w:r>
              <w:rPr>
                <w:rFonts w:ascii="Times New Roman" w:hAnsi="Times New Roman"/>
                <w:sz w:val="28"/>
              </w:rPr>
              <w:t>ещениях подземного пространства</w:t>
            </w:r>
            <w:r>
              <w:rPr>
                <w:rFonts w:ascii="Times New Roman" w:hAnsi="Times New Roman"/>
                <w:sz w:val="28"/>
              </w:rPr>
              <w:t>…………</w:t>
            </w:r>
            <w:r>
              <w:rPr>
                <w:rFonts w:ascii="Times New Roman" w:hAnsi="Times New Roman"/>
                <w:sz w:val="28"/>
              </w:rPr>
              <w:t>…..</w:t>
            </w:r>
            <w:r>
              <w:rPr>
                <w:rFonts w:ascii="Times New Roman" w:hAnsi="Times New Roman"/>
                <w:sz w:val="28"/>
              </w:rPr>
              <w:t>...</w:t>
            </w:r>
            <w:r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z w:val="28"/>
              </w:rPr>
              <w:t>...............................</w:t>
            </w:r>
          </w:p>
        </w:tc>
        <w:tc>
          <w:tcPr>
            <w:tcW w:type="dxa" w:w="708"/>
            <w:shd w:fill="auto" w:val="clear"/>
            <w:vAlign w:val="bottom"/>
          </w:tcPr>
          <w:p w14:paraId="24000000">
            <w:pPr>
              <w:ind/>
              <w:jc w:val="center"/>
              <w:rPr>
                <w:rFonts w:ascii="Times New Roman" w:hAnsi="Times New Roman"/>
                <w:color w:val="FF0000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z w:val="28"/>
              </w:rPr>
              <w:t>2</w:t>
            </w:r>
          </w:p>
        </w:tc>
      </w:tr>
      <w:tr>
        <w:trPr>
          <w:trHeight w:hRule="atLeast" w:val="740"/>
        </w:trPr>
        <w:tc>
          <w:tcPr>
            <w:tcW w:type="dxa" w:w="8931"/>
            <w:shd w:fill="auto" w:val="clear"/>
          </w:tcPr>
          <w:p w14:paraId="25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</w:t>
            </w:r>
            <w:r>
              <w:rPr>
                <w:rFonts w:ascii="Times New Roman" w:hAnsi="Times New Roman"/>
                <w:sz w:val="28"/>
              </w:rPr>
              <w:t xml:space="preserve"> Перечень мероприятий  и требований по приведению в готовность заглубленных помещений</w:t>
            </w:r>
            <w:r>
              <w:rPr>
                <w:rFonts w:ascii="Times New Roman" w:hAnsi="Times New Roman"/>
                <w:sz w:val="28"/>
              </w:rPr>
              <w:t>……………………………………………………</w:t>
            </w:r>
          </w:p>
        </w:tc>
        <w:tc>
          <w:tcPr>
            <w:tcW w:type="dxa" w:w="708"/>
            <w:shd w:fill="auto" w:val="clear"/>
            <w:vAlign w:val="bottom"/>
          </w:tcPr>
          <w:p w14:paraId="26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</w:tr>
      <w:tr>
        <w:trPr>
          <w:trHeight w:hRule="atLeast" w:val="593"/>
        </w:trPr>
        <w:tc>
          <w:tcPr>
            <w:tcW w:type="dxa" w:w="8931"/>
            <w:shd w:fill="auto" w:val="clear"/>
          </w:tcPr>
          <w:p w14:paraId="27000000">
            <w:pPr>
              <w:ind/>
              <w:jc w:val="both"/>
              <w:rPr>
                <w:rFonts w:ascii="Times New Roman" w:hAnsi="Times New Roman"/>
                <w:b w:val="1"/>
                <w:color w:val="FF0000"/>
                <w:sz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6</w:t>
            </w:r>
            <w:r>
              <w:rPr>
                <w:rFonts w:ascii="Times New Roman" w:hAnsi="Times New Roman"/>
                <w:spacing w:val="-1"/>
                <w:sz w:val="28"/>
              </w:rPr>
              <w:t>. П</w:t>
            </w:r>
            <w:r>
              <w:rPr>
                <w:rFonts w:ascii="Times New Roman" w:hAnsi="Times New Roman"/>
                <w:sz w:val="28"/>
              </w:rPr>
              <w:t>рактические рекомендации по использованию заглубленных и других помещений подземного пространства для защиты от чрезвычайных ситуаций природного и техногенного характера и опасностей, возникающих при военных конфликтах или вследствие этих конфликтов</w:t>
            </w:r>
            <w:r>
              <w:rPr>
                <w:rFonts w:ascii="Times New Roman" w:hAnsi="Times New Roman"/>
                <w:sz w:val="28"/>
              </w:rPr>
              <w:t>…………………………………………………………</w:t>
            </w:r>
            <w:r>
              <w:rPr>
                <w:rFonts w:ascii="Times New Roman" w:hAnsi="Times New Roman"/>
                <w:sz w:val="28"/>
              </w:rPr>
              <w:t>…...</w:t>
            </w:r>
          </w:p>
        </w:tc>
        <w:tc>
          <w:tcPr>
            <w:tcW w:type="dxa" w:w="708"/>
            <w:shd w:fill="auto" w:val="clear"/>
            <w:vAlign w:val="bottom"/>
          </w:tcPr>
          <w:p w14:paraId="28000000">
            <w:pPr>
              <w:ind/>
              <w:jc w:val="center"/>
              <w:rPr>
                <w:rFonts w:ascii="Times New Roman" w:hAnsi="Times New Roman"/>
                <w:color w:val="FF0000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z w:val="28"/>
              </w:rPr>
              <w:t>6</w:t>
            </w:r>
          </w:p>
        </w:tc>
      </w:tr>
      <w:tr>
        <w:trPr>
          <w:trHeight w:hRule="atLeast" w:val="432"/>
        </w:trPr>
        <w:tc>
          <w:tcPr>
            <w:tcW w:type="dxa" w:w="8931"/>
            <w:shd w:fill="auto" w:val="clear"/>
          </w:tcPr>
          <w:p w14:paraId="29000000">
            <w:pPr>
              <w:rPr>
                <w:rFonts w:ascii="Times New Roman" w:hAnsi="Times New Roman"/>
                <w:spacing w:val="-1"/>
                <w:sz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Приложение</w:t>
            </w:r>
            <w:r>
              <w:rPr>
                <w:rFonts w:ascii="Times New Roman" w:hAnsi="Times New Roman"/>
                <w:spacing w:val="-1"/>
                <w:sz w:val="28"/>
              </w:rPr>
              <w:t>………………………………………………</w:t>
            </w:r>
            <w:r>
              <w:rPr>
                <w:rFonts w:ascii="Times New Roman" w:hAnsi="Times New Roman"/>
                <w:spacing w:val="-1"/>
                <w:sz w:val="28"/>
              </w:rPr>
              <w:t>…………………...</w:t>
            </w:r>
          </w:p>
        </w:tc>
        <w:tc>
          <w:tcPr>
            <w:tcW w:type="dxa" w:w="708"/>
            <w:shd w:fill="auto" w:val="clear"/>
          </w:tcPr>
          <w:p w14:paraId="2A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>
        <w:trPr>
          <w:trHeight w:hRule="atLeast" w:val="432"/>
        </w:trPr>
        <w:tc>
          <w:tcPr>
            <w:tcW w:type="dxa" w:w="8931"/>
            <w:shd w:fill="auto" w:val="clear"/>
          </w:tcPr>
          <w:p w14:paraId="2B000000">
            <w:pPr>
              <w:rPr>
                <w:rFonts w:ascii="Times New Roman" w:hAnsi="Times New Roman"/>
                <w:spacing w:val="-1"/>
                <w:sz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Список сокращений…………………………………………………………..</w:t>
            </w:r>
          </w:p>
        </w:tc>
        <w:tc>
          <w:tcPr>
            <w:tcW w:type="dxa" w:w="708"/>
            <w:shd w:fill="auto" w:val="clear"/>
          </w:tcPr>
          <w:p w14:paraId="2C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>5</w:t>
            </w:r>
          </w:p>
        </w:tc>
      </w:tr>
    </w:tbl>
    <w:p w14:paraId="2D000000">
      <w:pPr>
        <w:pStyle w:val="Style_4"/>
        <w:ind/>
        <w:jc w:val="center"/>
        <w:outlineLvl w:val="1"/>
        <w:rPr>
          <w:rFonts w:ascii="Times New Roman" w:hAnsi="Times New Roman"/>
          <w:sz w:val="28"/>
        </w:rPr>
      </w:pPr>
    </w:p>
    <w:p w14:paraId="2E000000">
      <w:pPr>
        <w:pStyle w:val="Style_4"/>
        <w:ind/>
        <w:jc w:val="center"/>
        <w:outlineLvl w:val="1"/>
        <w:rPr>
          <w:rFonts w:ascii="Times New Roman" w:hAnsi="Times New Roman"/>
          <w:b w:val="1"/>
          <w:sz w:val="28"/>
        </w:rPr>
      </w:pPr>
    </w:p>
    <w:p w14:paraId="2F000000">
      <w:pPr>
        <w:pStyle w:val="Style_4"/>
        <w:ind/>
        <w:jc w:val="center"/>
        <w:outlineLvl w:val="1"/>
        <w:rPr>
          <w:rFonts w:ascii="Times New Roman" w:hAnsi="Times New Roman"/>
          <w:b w:val="1"/>
          <w:sz w:val="28"/>
        </w:rPr>
      </w:pPr>
    </w:p>
    <w:p w14:paraId="30000000">
      <w:pPr>
        <w:pStyle w:val="Style_4"/>
        <w:ind/>
        <w:jc w:val="center"/>
        <w:outlineLvl w:val="1"/>
        <w:rPr>
          <w:rFonts w:ascii="Times New Roman" w:hAnsi="Times New Roman"/>
          <w:b w:val="1"/>
          <w:sz w:val="28"/>
        </w:rPr>
      </w:pPr>
    </w:p>
    <w:p w14:paraId="31000000">
      <w:pPr>
        <w:pStyle w:val="Style_4"/>
        <w:ind/>
        <w:jc w:val="center"/>
        <w:outlineLvl w:val="1"/>
        <w:rPr>
          <w:rFonts w:ascii="Times New Roman" w:hAnsi="Times New Roman"/>
          <w:b w:val="1"/>
          <w:sz w:val="28"/>
        </w:rPr>
      </w:pPr>
    </w:p>
    <w:p w14:paraId="32000000">
      <w:pPr>
        <w:pStyle w:val="Style_4"/>
        <w:ind/>
        <w:jc w:val="center"/>
        <w:outlineLvl w:val="1"/>
        <w:rPr>
          <w:rFonts w:ascii="Times New Roman" w:hAnsi="Times New Roman"/>
          <w:b w:val="1"/>
          <w:sz w:val="28"/>
        </w:rPr>
      </w:pPr>
    </w:p>
    <w:p w14:paraId="33000000">
      <w:pPr>
        <w:pStyle w:val="Style_4"/>
        <w:ind/>
        <w:jc w:val="center"/>
        <w:outlineLvl w:val="1"/>
        <w:rPr>
          <w:rFonts w:ascii="Times New Roman" w:hAnsi="Times New Roman"/>
          <w:b w:val="1"/>
          <w:sz w:val="28"/>
        </w:rPr>
      </w:pPr>
    </w:p>
    <w:p w14:paraId="34000000">
      <w:pPr>
        <w:pStyle w:val="Style_4"/>
        <w:ind/>
        <w:jc w:val="center"/>
        <w:outlineLvl w:val="1"/>
        <w:rPr>
          <w:rFonts w:ascii="Times New Roman" w:hAnsi="Times New Roman"/>
          <w:b w:val="1"/>
          <w:sz w:val="28"/>
        </w:rPr>
      </w:pPr>
    </w:p>
    <w:p w14:paraId="35000000">
      <w:pPr>
        <w:pStyle w:val="Style_4"/>
        <w:ind/>
        <w:jc w:val="center"/>
        <w:outlineLvl w:val="1"/>
        <w:rPr>
          <w:rFonts w:ascii="Times New Roman" w:hAnsi="Times New Roman"/>
          <w:b w:val="1"/>
          <w:sz w:val="28"/>
        </w:rPr>
      </w:pPr>
    </w:p>
    <w:p w14:paraId="36000000">
      <w:pPr>
        <w:pStyle w:val="Style_4"/>
        <w:ind/>
        <w:jc w:val="center"/>
        <w:outlineLvl w:val="1"/>
        <w:rPr>
          <w:rFonts w:ascii="Times New Roman" w:hAnsi="Times New Roman"/>
          <w:b w:val="1"/>
          <w:sz w:val="28"/>
        </w:rPr>
      </w:pPr>
    </w:p>
    <w:p w14:paraId="37000000">
      <w:pPr>
        <w:pStyle w:val="Style_4"/>
        <w:ind/>
        <w:jc w:val="center"/>
        <w:outlineLvl w:val="1"/>
        <w:rPr>
          <w:rFonts w:ascii="Times New Roman" w:hAnsi="Times New Roman"/>
          <w:b w:val="1"/>
          <w:sz w:val="28"/>
        </w:rPr>
      </w:pPr>
    </w:p>
    <w:p w14:paraId="38000000">
      <w:pPr>
        <w:pStyle w:val="Style_4"/>
        <w:ind/>
        <w:jc w:val="center"/>
        <w:outlineLvl w:val="1"/>
        <w:rPr>
          <w:rFonts w:ascii="Times New Roman" w:hAnsi="Times New Roman"/>
          <w:b w:val="1"/>
          <w:sz w:val="28"/>
        </w:rPr>
      </w:pPr>
    </w:p>
    <w:p w14:paraId="39000000">
      <w:pPr>
        <w:pStyle w:val="Style_4"/>
        <w:ind/>
        <w:jc w:val="center"/>
        <w:outlineLvl w:val="1"/>
        <w:rPr>
          <w:rFonts w:ascii="Times New Roman" w:hAnsi="Times New Roman"/>
          <w:b w:val="1"/>
          <w:sz w:val="28"/>
        </w:rPr>
      </w:pPr>
    </w:p>
    <w:p w14:paraId="3A000000">
      <w:pPr>
        <w:pStyle w:val="Style_4"/>
        <w:ind/>
        <w:jc w:val="center"/>
        <w:outlineLvl w:val="1"/>
        <w:rPr>
          <w:rFonts w:ascii="Times New Roman" w:hAnsi="Times New Roman"/>
          <w:b w:val="1"/>
          <w:sz w:val="28"/>
        </w:rPr>
      </w:pPr>
    </w:p>
    <w:p w14:paraId="3B000000">
      <w:pPr>
        <w:pStyle w:val="Style_4"/>
        <w:ind/>
        <w:jc w:val="center"/>
        <w:outlineLvl w:val="1"/>
        <w:rPr>
          <w:rFonts w:ascii="Times New Roman" w:hAnsi="Times New Roman"/>
          <w:b w:val="1"/>
          <w:sz w:val="28"/>
        </w:rPr>
      </w:pPr>
    </w:p>
    <w:p w14:paraId="3C000000">
      <w:pPr>
        <w:pStyle w:val="Style_4"/>
        <w:ind/>
        <w:jc w:val="center"/>
        <w:outlineLvl w:val="1"/>
        <w:rPr>
          <w:rFonts w:ascii="Times New Roman" w:hAnsi="Times New Roman"/>
          <w:b w:val="1"/>
          <w:sz w:val="28"/>
        </w:rPr>
      </w:pPr>
    </w:p>
    <w:p w14:paraId="3D000000">
      <w:pPr>
        <w:pStyle w:val="Style_4"/>
        <w:ind/>
        <w:jc w:val="center"/>
        <w:outlineLvl w:val="1"/>
        <w:rPr>
          <w:rFonts w:ascii="Times New Roman" w:hAnsi="Times New Roman"/>
          <w:b w:val="1"/>
          <w:sz w:val="28"/>
        </w:rPr>
      </w:pPr>
    </w:p>
    <w:p w14:paraId="3E000000">
      <w:pPr>
        <w:pStyle w:val="Style_4"/>
        <w:ind/>
        <w:jc w:val="center"/>
        <w:outlineLvl w:val="1"/>
        <w:rPr>
          <w:rFonts w:ascii="Times New Roman" w:hAnsi="Times New Roman"/>
          <w:b w:val="1"/>
          <w:sz w:val="28"/>
        </w:rPr>
      </w:pPr>
    </w:p>
    <w:p w14:paraId="3F000000">
      <w:pPr>
        <w:pStyle w:val="Style_4"/>
        <w:ind/>
        <w:jc w:val="center"/>
        <w:outlineLvl w:val="1"/>
        <w:rPr>
          <w:rFonts w:ascii="Times New Roman" w:hAnsi="Times New Roman"/>
          <w:b w:val="1"/>
          <w:sz w:val="28"/>
        </w:rPr>
      </w:pPr>
    </w:p>
    <w:p w14:paraId="40000000">
      <w:pPr>
        <w:pStyle w:val="Style_4"/>
        <w:ind/>
        <w:outlineLvl w:val="1"/>
        <w:rPr>
          <w:rFonts w:ascii="Times New Roman" w:hAnsi="Times New Roman"/>
          <w:b w:val="1"/>
          <w:sz w:val="28"/>
        </w:rPr>
      </w:pPr>
    </w:p>
    <w:p w14:paraId="41000000">
      <w:pPr>
        <w:pStyle w:val="Style_4"/>
        <w:ind/>
        <w:jc w:val="center"/>
        <w:outlineLvl w:val="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1. </w:t>
      </w:r>
      <w:r>
        <w:rPr>
          <w:rFonts w:ascii="Times New Roman" w:hAnsi="Times New Roman"/>
          <w:b w:val="1"/>
          <w:sz w:val="28"/>
        </w:rPr>
        <w:t xml:space="preserve">ОБЩИЕ </w:t>
      </w:r>
      <w:r>
        <w:rPr>
          <w:rFonts w:ascii="Times New Roman" w:hAnsi="Times New Roman"/>
          <w:b w:val="1"/>
          <w:sz w:val="28"/>
        </w:rPr>
        <w:t>ПОЛОЖЕНИЯ</w:t>
      </w:r>
    </w:p>
    <w:p w14:paraId="42000000">
      <w:pPr>
        <w:pStyle w:val="Style_4"/>
        <w:ind/>
        <w:jc w:val="center"/>
        <w:outlineLvl w:val="1"/>
        <w:rPr>
          <w:rFonts w:ascii="Times New Roman" w:hAnsi="Times New Roman"/>
          <w:sz w:val="26"/>
        </w:rPr>
      </w:pPr>
    </w:p>
    <w:p w14:paraId="43000000">
      <w:pPr>
        <w:widowControl w:val="0"/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Настоящие Методические рекомендации разработаны управлением гражданской</w:t>
      </w:r>
      <w:r>
        <w:rPr>
          <w:rFonts w:ascii="Times New Roman" w:hAnsi="Times New Roman"/>
          <w:sz w:val="28"/>
        </w:rPr>
        <w:t xml:space="preserve"> обороны и</w:t>
      </w:r>
      <w:r>
        <w:rPr>
          <w:rFonts w:ascii="Times New Roman" w:hAnsi="Times New Roman"/>
          <w:sz w:val="28"/>
        </w:rPr>
        <w:t xml:space="preserve"> защиты</w:t>
      </w:r>
      <w:r>
        <w:rPr>
          <w:rFonts w:ascii="Times New Roman" w:hAnsi="Times New Roman"/>
          <w:sz w:val="28"/>
        </w:rPr>
        <w:t xml:space="preserve"> населения </w:t>
      </w:r>
      <w:r>
        <w:rPr>
          <w:rFonts w:ascii="Times New Roman" w:hAnsi="Times New Roman"/>
          <w:sz w:val="28"/>
        </w:rPr>
        <w:t xml:space="preserve">Главного управления МЧС России по Ростовской области </w:t>
      </w:r>
      <w:r>
        <w:rPr>
          <w:rFonts w:ascii="Times New Roman" w:hAnsi="Times New Roman"/>
          <w:sz w:val="28"/>
        </w:rPr>
        <w:t>в соответствии с требованиями</w:t>
      </w:r>
      <w:r>
        <w:rPr>
          <w:rFonts w:ascii="Times New Roman" w:hAnsi="Times New Roman"/>
          <w:sz w:val="28"/>
        </w:rPr>
        <w:t xml:space="preserve"> Федеральных законов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от 12 февраля 1998 г. № 28-ФЗ «О гражданской обороне», от 6 октября 2003 г.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№ 131-ФЗ «Об общих принципах организации местного самоуправления в Российской Федерации»,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>каза Президента Российской Федерации от 20 декабря 2016</w:t>
      </w:r>
      <w:r>
        <w:rPr>
          <w:rFonts w:ascii="Times New Roman" w:hAnsi="Times New Roman"/>
          <w:sz w:val="28"/>
        </w:rPr>
        <w:t xml:space="preserve"> г.</w:t>
      </w:r>
      <w:r>
        <w:rPr>
          <w:rFonts w:ascii="Times New Roman" w:hAnsi="Times New Roman"/>
          <w:sz w:val="28"/>
        </w:rPr>
        <w:t xml:space="preserve"> № 696 «Об утверждении Основ государственной политики Российской Федерации в области гражданской обороны на период до 2030 года», </w:t>
      </w:r>
      <w:r>
        <w:rPr>
          <w:rFonts w:ascii="Times New Roman" w:hAnsi="Times New Roman"/>
          <w:sz w:val="28"/>
        </w:rPr>
        <w:t>Постановлени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Правительства 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оссийской Федерации</w:t>
      </w:r>
      <w:r>
        <w:rPr>
          <w:rFonts w:ascii="Times New Roman" w:hAnsi="Times New Roman"/>
          <w:sz w:val="28"/>
        </w:rPr>
        <w:t xml:space="preserve"> от 29 ноября 1999 г. </w:t>
      </w:r>
      <w:r>
        <w:rPr>
          <w:rFonts w:ascii="Times New Roman" w:hAnsi="Times New Roman"/>
          <w:sz w:val="28"/>
        </w:rPr>
        <w:t>№</w:t>
      </w:r>
      <w:r>
        <w:rPr>
          <w:rFonts w:ascii="Times New Roman" w:hAnsi="Times New Roman"/>
          <w:sz w:val="28"/>
        </w:rPr>
        <w:t xml:space="preserve"> 1309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О порядке создания убежищ и иных объектов гражданской обороны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, от 26 ноября 2007 года № 804 «Об утверждении Положения о гражданской обороне в Российской Федерации»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от 3 апреля 2013 г. № 290 «О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выполнения»,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рик</w:t>
      </w:r>
      <w:r>
        <w:rPr>
          <w:rFonts w:ascii="Times New Roman" w:hAnsi="Times New Roman"/>
          <w:sz w:val="28"/>
        </w:rPr>
        <w:t xml:space="preserve">азов </w:t>
      </w:r>
      <w:r>
        <w:rPr>
          <w:rFonts w:ascii="Times New Roman" w:hAnsi="Times New Roman"/>
          <w:sz w:val="28"/>
        </w:rPr>
        <w:t xml:space="preserve">                    </w:t>
      </w:r>
      <w:r>
        <w:rPr>
          <w:rFonts w:ascii="Times New Roman" w:hAnsi="Times New Roman"/>
          <w:sz w:val="28"/>
        </w:rPr>
        <w:t>МЧС России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 15.12.2002 № 583 «Об утверждении и введении в действие Правил эксплуатации защитных сооружений гражданской обороны»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от 21.07.2005 № 575 «Об утверждении порядка содержания и использования защитных сооружений гражданской обороны в мирное время»</w:t>
      </w:r>
      <w:r>
        <w:rPr>
          <w:rFonts w:ascii="Times New Roman" w:hAnsi="Times New Roman"/>
          <w:sz w:val="28"/>
        </w:rPr>
        <w:t>, Свод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правил 165.132800.2014 Инженерно-технические мероприятия по гражданской обороне. Актуализированная редакция СНиП 2.01.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 xml:space="preserve">1-90, </w:t>
      </w:r>
      <w:r>
        <w:rPr>
          <w:rFonts w:ascii="Times New Roman" w:hAnsi="Times New Roman"/>
          <w:sz w:val="28"/>
        </w:rPr>
        <w:t>Свода правил</w:t>
      </w:r>
      <w:r>
        <w:rPr>
          <w:rFonts w:ascii="Times New Roman" w:hAnsi="Times New Roman"/>
          <w:sz w:val="28"/>
        </w:rPr>
        <w:t xml:space="preserve"> 88.13330.2011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СНиП II-11-77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. Защитные сооружения гражданской обороны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ГОСТ Р 42.4.03-2015 «Гражданская оборона. Защитные сооружения гражданской обороны. Классификация. Общие технические требования»</w:t>
      </w:r>
      <w:r>
        <w:rPr>
          <w:rFonts w:ascii="Times New Roman" w:hAnsi="Times New Roman"/>
          <w:sz w:val="28"/>
        </w:rPr>
        <w:t>.</w:t>
      </w:r>
    </w:p>
    <w:p w14:paraId="44000000">
      <w:pPr>
        <w:pStyle w:val="Style_4"/>
        <w:spacing w:line="276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Целью методических рекомендаций является:</w:t>
      </w:r>
    </w:p>
    <w:p w14:paraId="45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оказани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методической</w:t>
      </w:r>
      <w:r>
        <w:rPr>
          <w:rFonts w:ascii="Times New Roman" w:hAnsi="Times New Roman"/>
          <w:color w:val="000000"/>
          <w:sz w:val="28"/>
        </w:rPr>
        <w:t xml:space="preserve"> помощи органам местного самоуправления и организациям в решении вопросов </w:t>
      </w:r>
      <w:r>
        <w:rPr>
          <w:rFonts w:ascii="Times New Roman" w:hAnsi="Times New Roman"/>
          <w:color w:val="000000"/>
          <w:sz w:val="28"/>
        </w:rPr>
        <w:t xml:space="preserve">укрытия </w:t>
      </w:r>
      <w:r>
        <w:rPr>
          <w:rFonts w:ascii="Times New Roman" w:hAnsi="Times New Roman"/>
          <w:sz w:val="28"/>
        </w:rPr>
        <w:t xml:space="preserve">населения в </w:t>
      </w:r>
      <w:r>
        <w:rPr>
          <w:rFonts w:ascii="Times New Roman" w:hAnsi="Times New Roman"/>
          <w:sz w:val="28"/>
        </w:rPr>
        <w:t xml:space="preserve">защитных сооружениях гражданской обороны, </w:t>
      </w:r>
      <w:r>
        <w:rPr>
          <w:rFonts w:ascii="Times New Roman" w:hAnsi="Times New Roman"/>
          <w:sz w:val="28"/>
        </w:rPr>
        <w:t>заглубленных и других помещениях подземного пространства;</w:t>
      </w:r>
    </w:p>
    <w:p w14:paraId="46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разъяснение порядка </w:t>
      </w:r>
      <w:r>
        <w:rPr>
          <w:rFonts w:ascii="Times New Roman" w:hAnsi="Times New Roman"/>
          <w:sz w:val="28"/>
        </w:rPr>
        <w:t>укрытия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населения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заглубленных и других помещениях подземного пространства</w:t>
      </w:r>
      <w:r>
        <w:rPr>
          <w:rFonts w:ascii="Times New Roman" w:hAnsi="Times New Roman"/>
          <w:sz w:val="28"/>
        </w:rPr>
        <w:t xml:space="preserve">. </w:t>
      </w:r>
    </w:p>
    <w:p w14:paraId="47000000">
      <w:pPr>
        <w:pStyle w:val="Style_4"/>
        <w:spacing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м</w:t>
      </w:r>
      <w:r>
        <w:rPr>
          <w:rFonts w:ascii="Times New Roman" w:hAnsi="Times New Roman"/>
          <w:sz w:val="28"/>
        </w:rPr>
        <w:t xml:space="preserve">етодических рекомендациях представлены материалы по </w:t>
      </w:r>
      <w:r>
        <w:rPr>
          <w:rFonts w:ascii="Times New Roman" w:hAnsi="Times New Roman"/>
          <w:sz w:val="28"/>
        </w:rPr>
        <w:t xml:space="preserve">укрытию </w:t>
      </w:r>
      <w:r>
        <w:rPr>
          <w:rFonts w:ascii="Times New Roman" w:hAnsi="Times New Roman"/>
          <w:sz w:val="28"/>
        </w:rPr>
        <w:t>населения в</w:t>
      </w:r>
      <w:r>
        <w:rPr>
          <w:rFonts w:ascii="Times New Roman" w:hAnsi="Times New Roman"/>
          <w:sz w:val="28"/>
        </w:rPr>
        <w:t xml:space="preserve"> заглубленных и других помещениях подземного пространства </w:t>
      </w:r>
      <w:r>
        <w:rPr>
          <w:rFonts w:ascii="Times New Roman" w:hAnsi="Times New Roman"/>
          <w:sz w:val="28"/>
        </w:rPr>
        <w:t xml:space="preserve">с учетом </w:t>
      </w:r>
      <w:r>
        <w:rPr>
          <w:rFonts w:ascii="Times New Roman" w:hAnsi="Times New Roman"/>
          <w:sz w:val="28"/>
        </w:rPr>
        <w:t>действующего законодательства Российской Федерации</w:t>
      </w:r>
      <w:r>
        <w:rPr>
          <w:rFonts w:ascii="Times New Roman" w:hAnsi="Times New Roman"/>
          <w:sz w:val="28"/>
        </w:rPr>
        <w:t xml:space="preserve">. </w:t>
      </w:r>
    </w:p>
    <w:p w14:paraId="48000000">
      <w:pPr>
        <w:pStyle w:val="Style_5"/>
        <w:widowControl w:val="1"/>
        <w:spacing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Методические рекомендации предназначены для руководителей </w:t>
      </w:r>
      <w:r>
        <w:rPr>
          <w:rFonts w:ascii="Times New Roman" w:hAnsi="Times New Roman"/>
          <w:sz w:val="28"/>
        </w:rPr>
        <w:t>органов местного самоуправления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организаций.</w:t>
      </w:r>
    </w:p>
    <w:p w14:paraId="49000000">
      <w:pPr>
        <w:pStyle w:val="Style_5"/>
        <w:widowControl w:val="1"/>
        <w:spacing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Методические рекомендации подлежат уточнению по мере внесения изменений в федеральное законодательство, а также обобщения практического опыта их применения.</w:t>
      </w:r>
    </w:p>
    <w:p w14:paraId="4A000000">
      <w:pPr>
        <w:widowControl w:val="0"/>
        <w:spacing w:after="0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4B000000">
      <w:pPr>
        <w:widowControl w:val="0"/>
        <w:spacing w:after="0"/>
        <w:ind/>
        <w:jc w:val="center"/>
        <w:rPr>
          <w:rFonts w:ascii="Times New Roman" w:hAnsi="Times New Roman"/>
          <w:b w:val="1"/>
          <w:color w:val="FF0000"/>
          <w:spacing w:val="-1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2. </w:t>
      </w:r>
      <w:r>
        <w:rPr>
          <w:rFonts w:ascii="Times New Roman" w:hAnsi="Times New Roman"/>
          <w:b w:val="1"/>
          <w:color w:val="000000"/>
          <w:sz w:val="28"/>
        </w:rPr>
        <w:t xml:space="preserve">ОСНОВНЫЕ </w:t>
      </w:r>
      <w:r>
        <w:rPr>
          <w:rFonts w:ascii="Times New Roman" w:hAnsi="Times New Roman"/>
          <w:b w:val="1"/>
          <w:spacing w:val="-1"/>
          <w:sz w:val="28"/>
        </w:rPr>
        <w:t>ПОНЯТИЯ</w:t>
      </w:r>
      <w:r>
        <w:rPr>
          <w:rFonts w:ascii="Times New Roman" w:hAnsi="Times New Roman"/>
          <w:b w:val="1"/>
          <w:spacing w:val="-1"/>
          <w:sz w:val="28"/>
        </w:rPr>
        <w:t xml:space="preserve"> </w:t>
      </w:r>
      <w:r>
        <w:rPr>
          <w:rFonts w:ascii="Times New Roman" w:hAnsi="Times New Roman"/>
          <w:b w:val="1"/>
          <w:spacing w:val="-1"/>
          <w:sz w:val="28"/>
        </w:rPr>
        <w:t xml:space="preserve">И </w:t>
      </w:r>
      <w:r>
        <w:rPr>
          <w:rFonts w:ascii="Times New Roman" w:hAnsi="Times New Roman"/>
          <w:b w:val="1"/>
          <w:spacing w:val="-1"/>
          <w:sz w:val="28"/>
        </w:rPr>
        <w:t>ОПРЕДЕЛЕНИЯ</w:t>
      </w:r>
    </w:p>
    <w:p w14:paraId="4C000000">
      <w:pPr>
        <w:widowControl w:val="0"/>
        <w:spacing w:after="0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4D000000">
      <w:pPr>
        <w:widowControl w:val="0"/>
        <w:spacing w:after="0"/>
        <w:ind w:firstLine="720" w:left="0"/>
        <w:jc w:val="both"/>
        <w:rPr>
          <w:rFonts w:ascii="Times New Roman CYR" w:hAnsi="Times New Roman CYR"/>
          <w:sz w:val="28"/>
        </w:rPr>
      </w:pPr>
      <w:bookmarkStart w:id="2" w:name="sub_201"/>
      <w:r>
        <w:rPr>
          <w:rFonts w:ascii="Times New Roman CYR" w:hAnsi="Times New Roman CYR"/>
          <w:b w:val="1"/>
          <w:sz w:val="28"/>
        </w:rPr>
        <w:t>Гражданская оборона</w:t>
      </w:r>
      <w:r>
        <w:rPr>
          <w:rFonts w:ascii="Times New Roman CYR" w:hAnsi="Times New Roman CYR"/>
          <w:sz w:val="28"/>
        </w:rPr>
        <w:t xml:space="preserve"> - система мероприя</w:t>
      </w:r>
      <w:r>
        <w:rPr>
          <w:rFonts w:ascii="Times New Roman CYR" w:hAnsi="Times New Roman CYR"/>
          <w:sz w:val="28"/>
        </w:rPr>
        <w:t xml:space="preserve">тий по подготовке к защите и по </w:t>
      </w:r>
      <w:r>
        <w:rPr>
          <w:rFonts w:ascii="Times New Roman CYR" w:hAnsi="Times New Roman CYR"/>
          <w:sz w:val="28"/>
        </w:rPr>
        <w:t>защите населения, материальных и кул</w:t>
      </w:r>
      <w:r>
        <w:rPr>
          <w:rFonts w:ascii="Times New Roman CYR" w:hAnsi="Times New Roman CYR"/>
          <w:sz w:val="28"/>
        </w:rPr>
        <w:t xml:space="preserve">ьтурных ценностей на территории </w:t>
      </w:r>
      <w:r>
        <w:rPr>
          <w:rFonts w:ascii="Times New Roman CYR" w:hAnsi="Times New Roman CYR"/>
          <w:sz w:val="28"/>
        </w:rPr>
        <w:t>Российской Федерации от опасностей, воз</w:t>
      </w:r>
      <w:r>
        <w:rPr>
          <w:rFonts w:ascii="Times New Roman CYR" w:hAnsi="Times New Roman CYR"/>
          <w:sz w:val="28"/>
        </w:rPr>
        <w:t xml:space="preserve">никающих при военных конфликтах </w:t>
      </w:r>
      <w:r>
        <w:rPr>
          <w:rFonts w:ascii="Times New Roman CYR" w:hAnsi="Times New Roman CYR"/>
          <w:sz w:val="28"/>
        </w:rPr>
        <w:t>или вследствие этих конфликтов, а также при чрезвычайных ситуациях</w:t>
      </w:r>
      <w:r>
        <w:rPr>
          <w:rFonts w:ascii="Times New Roman CYR" w:hAnsi="Times New Roman CYR"/>
          <w:sz w:val="28"/>
        </w:rPr>
        <w:t xml:space="preserve"> </w:t>
      </w:r>
      <w:r>
        <w:rPr>
          <w:rFonts w:ascii="Times New Roman CYR" w:hAnsi="Times New Roman CYR"/>
          <w:sz w:val="28"/>
        </w:rPr>
        <w:t>природного и техногенного характера</w:t>
      </w:r>
      <w:r>
        <w:rPr>
          <w:rFonts w:ascii="Times New Roman CYR" w:hAnsi="Times New Roman CYR"/>
          <w:sz w:val="28"/>
        </w:rPr>
        <w:t>.</w:t>
      </w:r>
    </w:p>
    <w:p w14:paraId="4E000000">
      <w:pPr>
        <w:widowControl w:val="0"/>
        <w:spacing w:after="0"/>
        <w:ind w:firstLine="720" w:left="0"/>
        <w:jc w:val="both"/>
        <w:rPr>
          <w:rFonts w:ascii="Times New Roman CYR" w:hAnsi="Times New Roman CYR"/>
          <w:color w:val="26282F"/>
          <w:sz w:val="28"/>
        </w:rPr>
      </w:pPr>
      <w:r>
        <w:rPr>
          <w:rFonts w:ascii="Times New Roman CYR" w:hAnsi="Times New Roman CYR"/>
          <w:b w:val="1"/>
          <w:color w:val="26282F"/>
          <w:sz w:val="28"/>
        </w:rPr>
        <w:t xml:space="preserve">Защитное сооружение гражданской обороны </w:t>
      </w:r>
      <w:r>
        <w:rPr>
          <w:rFonts w:ascii="Times New Roman CYR" w:hAnsi="Times New Roman CYR"/>
          <w:sz w:val="28"/>
        </w:rPr>
        <w:t>-</w:t>
      </w:r>
      <w:r>
        <w:rPr>
          <w:rFonts w:ascii="Times New Roman CYR" w:hAnsi="Times New Roman CYR"/>
          <w:b w:val="1"/>
          <w:color w:val="26282F"/>
          <w:sz w:val="28"/>
        </w:rPr>
        <w:t xml:space="preserve"> </w:t>
      </w:r>
      <w:r>
        <w:rPr>
          <w:rFonts w:ascii="Times New Roman CYR" w:hAnsi="Times New Roman CYR"/>
          <w:color w:val="26282F"/>
          <w:sz w:val="28"/>
        </w:rPr>
        <w:t xml:space="preserve">сооружение, предназначенное для укрытия людей, техники и имущества от опасностей, возникающих при ведении военных </w:t>
      </w:r>
      <w:r>
        <w:rPr>
          <w:rFonts w:ascii="Times New Roman CYR" w:hAnsi="Times New Roman CYR"/>
          <w:color w:val="26282F"/>
          <w:sz w:val="28"/>
        </w:rPr>
        <w:t>конфликтов</w:t>
      </w:r>
      <w:r>
        <w:rPr>
          <w:rFonts w:ascii="Times New Roman CYR" w:hAnsi="Times New Roman CYR"/>
          <w:color w:val="26282F"/>
          <w:sz w:val="28"/>
        </w:rPr>
        <w:t xml:space="preserve"> или вследствие этих </w:t>
      </w:r>
      <w:r>
        <w:rPr>
          <w:rFonts w:ascii="Times New Roman CYR" w:hAnsi="Times New Roman CYR"/>
          <w:color w:val="26282F"/>
          <w:sz w:val="28"/>
        </w:rPr>
        <w:t>конфликтов</w:t>
      </w:r>
      <w:r>
        <w:rPr>
          <w:rFonts w:ascii="Times New Roman CYR" w:hAnsi="Times New Roman CYR"/>
          <w:color w:val="26282F"/>
          <w:sz w:val="28"/>
        </w:rPr>
        <w:t>, а также от чрезвычайных ситуаций природного и техногенного характера.</w:t>
      </w:r>
    </w:p>
    <w:p w14:paraId="4F000000">
      <w:pPr>
        <w:widowControl w:val="0"/>
        <w:spacing w:after="0"/>
        <w:ind w:firstLine="720" w:left="0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b w:val="1"/>
          <w:color w:val="26282F"/>
          <w:sz w:val="28"/>
        </w:rPr>
        <w:t>Убежище</w:t>
      </w:r>
      <w:r>
        <w:rPr>
          <w:rFonts w:ascii="Times New Roman CYR" w:hAnsi="Times New Roman CYR"/>
          <w:sz w:val="28"/>
        </w:rPr>
        <w:t xml:space="preserve"> - защитное сооружение гражданской обороны, предназначенное для защиты укрываемых в течение нормативного времени от расчетного воздействия поражающих факторов ядерного и химического оружия и обычных средств поражения, бактериальных (биологических) средств и поражающих концентраций аварийно</w:t>
      </w:r>
      <w:r>
        <w:rPr>
          <w:rFonts w:ascii="Times New Roman CYR" w:hAnsi="Times New Roman CYR"/>
          <w:sz w:val="28"/>
        </w:rPr>
        <w:t>-</w:t>
      </w:r>
      <w:r>
        <w:rPr>
          <w:rFonts w:ascii="Times New Roman CYR" w:hAnsi="Times New Roman CYR"/>
          <w:sz w:val="28"/>
        </w:rPr>
        <w:t>химически опасных веществ, возникающих при аварии на потенциально опасных объектах, а также от высоких температур и продуктов горения при пожарах</w:t>
      </w:r>
      <w:r>
        <w:rPr>
          <w:rFonts w:ascii="Times New Roman CYR" w:hAnsi="Times New Roman CYR"/>
          <w:sz w:val="28"/>
        </w:rPr>
        <w:t>.</w:t>
      </w:r>
    </w:p>
    <w:p w14:paraId="50000000">
      <w:pPr>
        <w:widowControl w:val="0"/>
        <w:spacing w:after="0"/>
        <w:ind w:firstLine="720" w:left="0"/>
        <w:jc w:val="both"/>
        <w:rPr>
          <w:rFonts w:ascii="Times New Roman CYR" w:hAnsi="Times New Roman CYR"/>
          <w:sz w:val="28"/>
        </w:rPr>
      </w:pPr>
      <w:bookmarkStart w:id="3" w:name="sub_202"/>
      <w:bookmarkEnd w:id="2"/>
      <w:r>
        <w:rPr>
          <w:rFonts w:ascii="Times New Roman CYR" w:hAnsi="Times New Roman CYR"/>
          <w:b w:val="1"/>
          <w:color w:val="26282F"/>
          <w:sz w:val="28"/>
        </w:rPr>
        <w:t>Противорадиационное укрытие</w:t>
      </w:r>
      <w:r>
        <w:rPr>
          <w:rFonts w:ascii="Times New Roman CYR" w:hAnsi="Times New Roman CYR"/>
          <w:sz w:val="28"/>
        </w:rPr>
        <w:t xml:space="preserve"> - защитное сооружение гражданской обороны, предназначенное для защиты укрываемых от воздействия ионизирующих излучений при радиоактивном заражении (загрязнении) местности и допускающее непрерывное пребывание в нем укрываемых в течение нормативного времени;</w:t>
      </w:r>
    </w:p>
    <w:p w14:paraId="51000000">
      <w:pPr>
        <w:widowControl w:val="0"/>
        <w:spacing w:after="0"/>
        <w:ind w:firstLine="720" w:left="0"/>
        <w:jc w:val="both"/>
        <w:rPr>
          <w:rFonts w:ascii="Times New Roman CYR" w:hAnsi="Times New Roman CYR"/>
          <w:sz w:val="28"/>
        </w:rPr>
      </w:pPr>
      <w:bookmarkStart w:id="4" w:name="sub_203"/>
      <w:bookmarkEnd w:id="3"/>
      <w:r>
        <w:rPr>
          <w:rFonts w:ascii="Times New Roman CYR" w:hAnsi="Times New Roman CYR"/>
          <w:b w:val="1"/>
          <w:color w:val="26282F"/>
          <w:sz w:val="28"/>
        </w:rPr>
        <w:t>Укрытие</w:t>
      </w:r>
      <w:r>
        <w:rPr>
          <w:rFonts w:ascii="Times New Roman CYR" w:hAnsi="Times New Roman CYR"/>
          <w:sz w:val="28"/>
        </w:rPr>
        <w:t xml:space="preserve"> - защитное сооружение гражданской обороны, предназначенное для защиты укрываемых от фугасного и осколочного действия обычных средств поражения, поражения обломками строительных конструкций, а также от обрушения конструкций вышерасположенных этажей зданий различной этажности</w:t>
      </w:r>
      <w:r>
        <w:rPr>
          <w:rFonts w:ascii="Times New Roman CYR" w:hAnsi="Times New Roman CYR"/>
          <w:sz w:val="28"/>
        </w:rPr>
        <w:t>.</w:t>
      </w:r>
      <w:bookmarkEnd w:id="4"/>
    </w:p>
    <w:p w14:paraId="52000000">
      <w:pPr>
        <w:pStyle w:val="Style_4"/>
        <w:spacing w:line="276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Инженерно-технические мероприятия гражданской обороны и предупреждения чрезвычайных ситуаций (ИТМ ГОЧС)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 CYR" w:hAnsi="Times New Roman CYR"/>
          <w:sz w:val="28"/>
        </w:rPr>
        <w:t xml:space="preserve">- </w:t>
      </w:r>
      <w:r>
        <w:rPr>
          <w:rFonts w:ascii="Times New Roman" w:hAnsi="Times New Roman"/>
          <w:sz w:val="28"/>
        </w:rPr>
        <w:t>совокупность реализуемых при строительстве проектных решений, направленных на обеспечение защиты населения, территорий и снижение материального ущерба от ЧС техногенного и природного характеров, от опасностей, возникающих при ведении военных действий или вследствие этих действий, а также при диверсиях и террористических актах</w:t>
      </w:r>
      <w:r>
        <w:rPr>
          <w:rFonts w:ascii="Times New Roman" w:hAnsi="Times New Roman"/>
          <w:sz w:val="28"/>
        </w:rPr>
        <w:t>.</w:t>
      </w:r>
    </w:p>
    <w:p w14:paraId="53000000">
      <w:pPr>
        <w:pStyle w:val="Style_4"/>
        <w:spacing w:line="276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 объектам гражданской обороны относятся:</w:t>
      </w:r>
    </w:p>
    <w:p w14:paraId="54000000">
      <w:pPr>
        <w:pStyle w:val="Style_4"/>
        <w:spacing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убежище - защитное сооружение гражданской обороны, предназначенное для </w:t>
      </w:r>
      <w:r>
        <w:rPr>
          <w:rFonts w:ascii="Times New Roman" w:hAnsi="Times New Roman"/>
          <w:sz w:val="28"/>
        </w:rPr>
        <w:t>защиты укрываемых в течение нормативного времени от расчетного воздействия поражающих факторов ядерного и химического оружия и обычных средств поражения, бактериальных (биологических) средств и п</w:t>
      </w:r>
      <w:r>
        <w:rPr>
          <w:rFonts w:ascii="Times New Roman" w:hAnsi="Times New Roman"/>
          <w:sz w:val="28"/>
        </w:rPr>
        <w:t>оражающих концентраций аварийно-</w:t>
      </w:r>
      <w:r>
        <w:rPr>
          <w:rFonts w:ascii="Times New Roman" w:hAnsi="Times New Roman"/>
          <w:sz w:val="28"/>
        </w:rPr>
        <w:t>химически опасных веществ, возникающих при аварии на потенциально опасных объектах, а также от высоких температур и продуктов горения при пожарах;</w:t>
      </w:r>
    </w:p>
    <w:p w14:paraId="55000000">
      <w:pPr>
        <w:pStyle w:val="Style_4"/>
        <w:spacing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противорадиационное укрытие - защитное сооружение гражданской обороны, предназначенное для защиты укрываемых от воздействия ионизирующих излучений при радиоактивном заражении (загрязнении) местности и допускающее непрерывное пребывание в нем укрываемых в течение нормативного времени;</w:t>
      </w:r>
    </w:p>
    <w:p w14:paraId="56000000">
      <w:pPr>
        <w:pStyle w:val="Style_4"/>
        <w:spacing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укрытие - защитное сооружение гражданской обороны, предназначенное для защиты укрываемых от фугасного и осколочного действия обычных средств поражения, поражения обломками строительных конструкций, а также от обрушения конструкций вышерасположенных этажей зданий различной этажности;</w:t>
      </w:r>
    </w:p>
    <w:p w14:paraId="57000000">
      <w:pPr>
        <w:pStyle w:val="Style_4"/>
        <w:spacing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специализированное складское помещение (место хранения) - помещение, предназначенное для хранения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размещенного в нем имущества гражданской обороны и выдачи его в установленном порядке;</w:t>
      </w:r>
    </w:p>
    <w:p w14:paraId="58000000">
      <w:pPr>
        <w:pStyle w:val="Style_4"/>
        <w:spacing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санитарно-обмывочный пункт - комплекс помещений, технических и материальных средств, предназначенных для смены одежды, обуви, санитарной обработки населения, контроля радиоактивного заражения (загрязнения) кожных покровов, средств индивидуальной защиты, специальной и личной одежды людей;</w:t>
      </w:r>
    </w:p>
    <w:p w14:paraId="59000000">
      <w:pPr>
        <w:pStyle w:val="Style_4"/>
        <w:spacing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станция обеззараживания одежды - комплекс помещений, технических и материальных средств, предназначенных для специальной обработки одежды, обуви, а также для пропитки одежды защитными составами;</w:t>
      </w:r>
    </w:p>
    <w:p w14:paraId="5A000000">
      <w:pPr>
        <w:pStyle w:val="Style_4"/>
        <w:spacing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станция обеззараживания техники - комплекс помещений, технических и материальных средств, предназначенных для специальной обработки подвижного состава транспорта;</w:t>
      </w:r>
    </w:p>
    <w:p w14:paraId="5B000000">
      <w:pPr>
        <w:pStyle w:val="Style_4"/>
        <w:spacing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иные объекты гражданской обороны - объекты, предназначенные для обеспечения проведения мероприятий по гражданской обороне, в том числе для санитарной обработки людей и животных, дезактивации дорог, зданий и </w:t>
      </w:r>
      <w:r>
        <w:rPr>
          <w:rFonts w:ascii="Times New Roman" w:hAnsi="Times New Roman"/>
          <w:sz w:val="28"/>
        </w:rPr>
        <w:t>сооружений, специальной обработки одежды, транспортных средств и других неотложных работ.</w:t>
      </w:r>
    </w:p>
    <w:p w14:paraId="5C000000">
      <w:pPr>
        <w:pStyle w:val="Style_4"/>
        <w:spacing w:line="276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Защитные сооружения гражданской обороны создаются</w:t>
      </w:r>
      <w:r>
        <w:rPr>
          <w:rFonts w:ascii="Times New Roman" w:hAnsi="Times New Roman"/>
          <w:b w:val="1"/>
          <w:sz w:val="28"/>
        </w:rPr>
        <w:t>:</w:t>
      </w:r>
    </w:p>
    <w:p w14:paraId="5D000000">
      <w:pPr>
        <w:widowControl w:val="0"/>
        <w:spacing w:after="0"/>
        <w:ind w:firstLine="720" w:left="0"/>
        <w:jc w:val="both"/>
        <w:rPr>
          <w:rFonts w:ascii="Times New Roman CYR" w:hAnsi="Times New Roman CYR"/>
          <w:b w:val="1"/>
          <w:sz w:val="28"/>
        </w:rPr>
      </w:pPr>
      <w:r>
        <w:rPr>
          <w:rFonts w:ascii="Times New Roman CYR" w:hAnsi="Times New Roman CYR"/>
          <w:b w:val="1"/>
          <w:sz w:val="28"/>
        </w:rPr>
        <w:t>Убежища:</w:t>
      </w:r>
    </w:p>
    <w:p w14:paraId="5E000000">
      <w:pPr>
        <w:widowControl w:val="0"/>
        <w:spacing w:after="0"/>
        <w:ind w:firstLine="720" w:left="0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для максимальной по численности работающей в военное время смены работников организации, имеющей мобилизационное задание (заказ) (далее - наибольшая работающая смена организации) и отнесенной к категории особой важности по гражданской обороне, независимо от места ее расположения, а также для наибольшей работающей смены организации, отнесенной к первой или второй </w:t>
      </w:r>
      <w:r>
        <w:rPr>
          <w:rFonts w:ascii="Times New Roman CYR" w:hAnsi="Times New Roman CYR"/>
          <w:sz w:val="28"/>
        </w:rPr>
        <w:t>категории по гражданской обороне и расположенной на территории, отнесенной к группе по гражданской обороне, за исключением наибольшей работающей смены метрополитена, обеспечивающего прием и укрытие населения в сооружениях метрополитена, используемых в качестве защитных сооружений гражданской обороны, и медицинского персонала, обслуживающего нетранспортабельных больных;</w:t>
      </w:r>
    </w:p>
    <w:p w14:paraId="5F000000">
      <w:pPr>
        <w:widowControl w:val="0"/>
        <w:spacing w:after="0"/>
        <w:ind w:firstLine="720" w:left="0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для работников максимальной по численности работающей в мирное время смены организации, эксплуатирующей ядерные установки (атомные станции), включая работников организации, обеспечивающей ее функционирование и жизнедеятельность и находящейся на ее территории в пределах периметра защищенной зоны.</w:t>
      </w:r>
    </w:p>
    <w:p w14:paraId="60000000">
      <w:pPr>
        <w:widowControl w:val="0"/>
        <w:spacing w:after="0"/>
        <w:ind w:firstLine="720" w:left="0"/>
        <w:jc w:val="both"/>
        <w:rPr>
          <w:rFonts w:ascii="Times New Roman CYR" w:hAnsi="Times New Roman CYR"/>
          <w:b w:val="1"/>
          <w:sz w:val="28"/>
        </w:rPr>
      </w:pPr>
      <w:r>
        <w:rPr>
          <w:rFonts w:ascii="Times New Roman CYR" w:hAnsi="Times New Roman CYR"/>
          <w:b w:val="1"/>
          <w:sz w:val="28"/>
        </w:rPr>
        <w:t>Противорадиационные укрытия:</w:t>
      </w:r>
    </w:p>
    <w:p w14:paraId="61000000">
      <w:pPr>
        <w:widowControl w:val="0"/>
        <w:spacing w:after="0"/>
        <w:ind w:firstLine="720" w:left="0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для наибольшей работающей смены организации, отнесенной к первой или второй категории по гражданской обороне, расположенной в зоне возможного радиоактивного заражения (загрязнения) за пределами территории, отнесенной к группе по гражданской обороне;</w:t>
      </w:r>
    </w:p>
    <w:p w14:paraId="62000000">
      <w:pPr>
        <w:widowControl w:val="0"/>
        <w:spacing w:after="0"/>
        <w:ind w:firstLine="720" w:left="0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для нетранспортабельных больных и обслуживающего их медицинского персонала, находящегося в учреждении здравоохранения, расположенном в зоне возможного радиоактивного заражения (загрязнения).</w:t>
      </w:r>
    </w:p>
    <w:p w14:paraId="63000000">
      <w:pPr>
        <w:widowControl w:val="0"/>
        <w:spacing w:after="0"/>
        <w:ind w:firstLine="720" w:left="0"/>
        <w:jc w:val="both"/>
        <w:rPr>
          <w:rFonts w:ascii="Times New Roman CYR" w:hAnsi="Times New Roman CYR"/>
          <w:b w:val="1"/>
          <w:sz w:val="28"/>
        </w:rPr>
      </w:pPr>
      <w:r>
        <w:rPr>
          <w:rFonts w:ascii="Times New Roman CYR" w:hAnsi="Times New Roman CYR"/>
          <w:b w:val="1"/>
          <w:sz w:val="28"/>
        </w:rPr>
        <w:t>Укрытия:</w:t>
      </w:r>
    </w:p>
    <w:p w14:paraId="64000000">
      <w:pPr>
        <w:widowControl w:val="0"/>
        <w:spacing w:after="0"/>
        <w:ind w:firstLine="720" w:left="0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для наибольшей работающей смены организации, отнесенной к первой или второй категории по гражданской обороне, расположенной за пределами территории, отнесенной к группе по гражданской обороне, вне зоны возможного радиоактивного заражения (загрязнения);</w:t>
      </w:r>
    </w:p>
    <w:p w14:paraId="65000000">
      <w:pPr>
        <w:widowControl w:val="0"/>
        <w:spacing w:after="0"/>
        <w:ind w:firstLine="720" w:left="0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для нетранспортабельных больных и обслуживающего их медицинского персонала, находящегося в учреждении здравоохранения, расположенном на территории, отнесенной к группе по гражданской обороне, вне зоны возможного радиоактивного заражения (загрязнения).</w:t>
      </w:r>
    </w:p>
    <w:p w14:paraId="66000000">
      <w:pPr>
        <w:widowControl w:val="0"/>
        <w:spacing w:after="0"/>
        <w:ind w:firstLine="709" w:left="0"/>
        <w:jc w:val="both"/>
        <w:rPr>
          <w:rFonts w:ascii="Times New Roman" w:hAnsi="Times New Roman"/>
          <w:sz w:val="28"/>
        </w:rPr>
      </w:pPr>
      <w:bookmarkStart w:id="5" w:name="i24347"/>
      <w:r>
        <w:rPr>
          <w:rFonts w:ascii="Times New Roman" w:hAnsi="Times New Roman"/>
          <w:sz w:val="28"/>
        </w:rPr>
        <w:t>Для защитных сооружений, расположенных на территориях, отнесенных к особой группе по гражданской обороне, радиус сбора укрыва</w:t>
      </w:r>
      <w:r>
        <w:rPr>
          <w:rFonts w:ascii="Times New Roman" w:hAnsi="Times New Roman"/>
          <w:sz w:val="28"/>
        </w:rPr>
        <w:t>емых следует принимать не более</w:t>
      </w:r>
      <w:r>
        <w:rPr>
          <w:rFonts w:ascii="Times New Roman" w:hAnsi="Times New Roman"/>
          <w:sz w:val="28"/>
        </w:rPr>
        <w:t xml:space="preserve"> 500 м, а для иных</w:t>
      </w:r>
      <w:r>
        <w:rPr>
          <w:rFonts w:ascii="Times New Roman" w:hAnsi="Times New Roman"/>
          <w:sz w:val="28"/>
        </w:rPr>
        <w:t xml:space="preserve"> территорий – не более 1000 м.</w:t>
      </w:r>
    </w:p>
    <w:p w14:paraId="67000000">
      <w:pPr>
        <w:widowControl w:val="0"/>
        <w:spacing w:after="0"/>
        <w:ind w:firstLine="709" w:left="0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b w:val="1"/>
          <w:sz w:val="28"/>
        </w:rPr>
        <w:t>Для укрытия населения используются</w:t>
      </w:r>
      <w:r>
        <w:rPr>
          <w:rFonts w:ascii="Times New Roman CYR" w:hAnsi="Times New Roman CYR"/>
          <w:sz w:val="28"/>
        </w:rPr>
        <w:t xml:space="preserve"> имеющиеся защитные сооружения гражданской обороны и (или) приспосабливаются под защитные сооружения гражданской обороны в период мобилизации и в военное время </w:t>
      </w:r>
      <w:r>
        <w:rPr>
          <w:rFonts w:ascii="Times New Roman CYR" w:hAnsi="Times New Roman CYR"/>
          <w:sz w:val="28"/>
        </w:rPr>
        <w:t>заглубленные помещения и другие соо</w:t>
      </w:r>
      <w:r>
        <w:rPr>
          <w:rFonts w:ascii="Times New Roman CYR" w:hAnsi="Times New Roman CYR"/>
          <w:sz w:val="28"/>
        </w:rPr>
        <w:t>ружения подземного пространства.</w:t>
      </w:r>
    </w:p>
    <w:p w14:paraId="68000000">
      <w:pPr>
        <w:pStyle w:val="Style_4"/>
        <w:spacing w:line="276" w:lineRule="auto"/>
        <w:ind w:firstLine="709" w:left="0"/>
        <w:jc w:val="both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Накопление необходимого количества защитных сооружений осуществляется заблаговременно, в мирное время, путем:</w:t>
      </w:r>
    </w:p>
    <w:p w14:paraId="69000000">
      <w:pPr>
        <w:pStyle w:val="Style_4"/>
        <w:spacing w:line="276" w:lineRule="auto"/>
        <w:ind w:firstLine="709" w:left="0"/>
        <w:jc w:val="both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строительства защитных сооружений;</w:t>
      </w:r>
    </w:p>
    <w:p w14:paraId="6A000000">
      <w:pPr>
        <w:pStyle w:val="Style_4"/>
        <w:spacing w:line="276" w:lineRule="auto"/>
        <w:ind w:firstLine="709" w:left="0"/>
        <w:jc w:val="both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сохранения защитных свойств и поддержания в исправности систем </w:t>
      </w:r>
      <w:r>
        <w:rPr>
          <w:rFonts w:ascii="Times New Roman" w:hAnsi="Times New Roman"/>
          <w:sz w:val="28"/>
        </w:rPr>
        <w:t>жизнеобеспечения существующих</w:t>
      </w:r>
      <w:r>
        <w:rPr>
          <w:rFonts w:ascii="Times New Roman" w:hAnsi="Times New Roman"/>
          <w:sz w:val="28"/>
        </w:rPr>
        <w:t xml:space="preserve"> защитных сооружений, и обеспечения их готовности к приему укрываемых;</w:t>
      </w:r>
    </w:p>
    <w:p w14:paraId="6B000000">
      <w:pPr>
        <w:pStyle w:val="Style_4"/>
        <w:spacing w:line="276" w:lineRule="auto"/>
        <w:ind w:firstLine="709" w:left="0"/>
        <w:jc w:val="both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приспособления под защитные сооружения вновь строящихся и существующих отдельно стоящих заглубленных сооружений различного назначения;</w:t>
      </w:r>
    </w:p>
    <w:p w14:paraId="6C000000">
      <w:pPr>
        <w:pStyle w:val="Style_4"/>
        <w:spacing w:line="276" w:lineRule="auto"/>
        <w:ind w:firstLine="709" w:left="0"/>
        <w:jc w:val="both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приспособления для защиты населения подземных горных выработок, естественных пещер и других подземных </w:t>
      </w:r>
      <w:r>
        <w:rPr>
          <w:rFonts w:ascii="Times New Roman" w:hAnsi="Times New Roman"/>
          <w:sz w:val="28"/>
        </w:rPr>
        <w:t>пространств</w:t>
      </w:r>
      <w:r>
        <w:rPr>
          <w:rFonts w:ascii="Times New Roman" w:hAnsi="Times New Roman"/>
          <w:sz w:val="28"/>
        </w:rPr>
        <w:t>;</w:t>
      </w:r>
    </w:p>
    <w:p w14:paraId="6D000000">
      <w:pPr>
        <w:pStyle w:val="Style_4"/>
        <w:spacing w:line="276" w:lineRule="auto"/>
        <w:ind w:firstLine="709" w:left="0"/>
        <w:jc w:val="both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приспособления в мирное время метрополитенов для укрытия населения с учетом опасностей мирного и военного времени, наличия защитных сооружений и планируемых мероприятий по гражданской обороне и защите населения;</w:t>
      </w:r>
    </w:p>
    <w:p w14:paraId="6E000000">
      <w:pPr>
        <w:pStyle w:val="Style_4"/>
        <w:spacing w:line="276" w:lineRule="auto"/>
        <w:ind w:firstLine="709" w:left="0"/>
        <w:jc w:val="both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приобретения и монтажа герметичных камер-убежищ;</w:t>
      </w:r>
    </w:p>
    <w:p w14:paraId="6F000000">
      <w:pPr>
        <w:pStyle w:val="Style_4"/>
        <w:spacing w:line="276" w:lineRule="auto"/>
        <w:ind w:firstLine="709" w:left="0"/>
        <w:jc w:val="both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приспособления под защитные сооружения помещений в подвальных </w:t>
      </w:r>
      <w:r>
        <w:rPr>
          <w:rFonts w:ascii="Times New Roman" w:hAnsi="Times New Roman"/>
          <w:sz w:val="28"/>
        </w:rPr>
        <w:t>помещениях, цокольных</w:t>
      </w:r>
      <w:r>
        <w:rPr>
          <w:rFonts w:ascii="Times New Roman" w:hAnsi="Times New Roman"/>
          <w:sz w:val="28"/>
        </w:rPr>
        <w:t xml:space="preserve"> и надземных этажах существующих и вновь строящихся зданий и сооружений или возведения отдельно стоящих возвышающихся защитных сооружений.</w:t>
      </w:r>
    </w:p>
    <w:p w14:paraId="70000000">
      <w:pPr>
        <w:pStyle w:val="Style_4"/>
        <w:spacing w:line="276" w:lineRule="auto"/>
        <w:ind w:firstLine="709" w:left="0"/>
        <w:jc w:val="both"/>
        <w:outlineLvl w:val="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Системы жизнеобеспечения</w:t>
      </w:r>
      <w:r>
        <w:rPr>
          <w:rFonts w:ascii="Times New Roman" w:hAnsi="Times New Roman"/>
          <w:b w:val="1"/>
          <w:sz w:val="28"/>
        </w:rPr>
        <w:t>.</w:t>
      </w:r>
    </w:p>
    <w:p w14:paraId="71000000">
      <w:pPr>
        <w:widowControl w:val="0"/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Системы жизнеобеспечения убежищ должны обеспечивать непрерывное пребывание в них расчетного количества укрываемых в течение двух суток, за исключением систем жизнеобеспечения убежищ, располагаемых в районе размещения объектов использования атомной энергии.</w:t>
      </w:r>
    </w:p>
    <w:p w14:paraId="72000000">
      <w:pPr>
        <w:widowControl w:val="0"/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Системы жизнеобеспечения противорадиационных укрытий должны быть рассчитаны на двухсуточное пребывание укрываемых.</w:t>
      </w:r>
    </w:p>
    <w:p w14:paraId="73000000">
      <w:pPr>
        <w:widowControl w:val="0"/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Системы жизнеобеспечения укрытий должны быть рассчитаны на односуточное пребывание укрываемых.</w:t>
      </w:r>
    </w:p>
    <w:p w14:paraId="74000000">
      <w:pPr>
        <w:widowControl w:val="0"/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том случае, если укрытие расположено одновременно в зоне возможных разрушений и зоне возможного радиоактивного загрязнения, должна быть предусмотрена дополнительная защита ограждающих его конструкций от проникающей радиации со степенью ослабления</w:t>
      </w:r>
      <w:r>
        <w:rPr>
          <w:rFonts w:ascii="Times New Roman" w:hAnsi="Times New Roman"/>
          <w:sz w:val="28"/>
        </w:rPr>
        <w:t xml:space="preserve"> радиации внешнего воздействия</w:t>
      </w:r>
      <w:r>
        <w:rPr>
          <w:rFonts w:ascii="Times New Roman" w:hAnsi="Times New Roman"/>
          <w:sz w:val="28"/>
        </w:rPr>
        <w:t>, а системы жизнеобеспечения укрытия должны быть рассчитаны на двухсуточное пребывание укрываемых.</w:t>
      </w:r>
    </w:p>
    <w:p w14:paraId="75000000">
      <w:pPr>
        <w:widowControl w:val="0"/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Наращивание фонда укрытий осуществляется за счет планирования в мирное время и строительства в период мобилизации и военное время быстровозводимых укрытий, приспособление для укрытий подвальных, цокольных и первых этажей существующих зданий и сооружений различного назначения, а также подземных пространств городов. </w:t>
      </w:r>
    </w:p>
    <w:p w14:paraId="76000000">
      <w:pPr>
        <w:widowControl w:val="0"/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Защитные сооружения следует приводить в готовность для приема укрываемых в </w:t>
      </w:r>
      <w:r>
        <w:rPr>
          <w:rFonts w:ascii="Times New Roman" w:hAnsi="Times New Roman"/>
          <w:spacing w:val="4"/>
          <w:sz w:val="28"/>
        </w:rPr>
        <w:t>сроки, не превышающие 24 ч.</w:t>
      </w:r>
      <w:r>
        <w:rPr>
          <w:rFonts w:ascii="Times New Roman" w:hAnsi="Times New Roman"/>
          <w:spacing w:val="4"/>
          <w:sz w:val="28"/>
        </w:rPr>
        <w:t xml:space="preserve"> (укрытие 12 ч.)</w:t>
      </w:r>
      <w:r>
        <w:rPr>
          <w:rFonts w:ascii="Times New Roman" w:hAnsi="Times New Roman"/>
          <w:spacing w:val="4"/>
          <w:sz w:val="28"/>
        </w:rPr>
        <w:t>.</w:t>
      </w:r>
      <w:r>
        <w:rPr>
          <w:rFonts w:ascii="Times New Roman" w:hAnsi="Times New Roman"/>
          <w:spacing w:val="4"/>
          <w:sz w:val="28"/>
        </w:rPr>
        <w:t xml:space="preserve"> Защитные сооружения в зонах возможного радиоактивного загрязнения и возможного химического заражения должны содержать в готовности к </w:t>
      </w:r>
      <w:r>
        <w:rPr>
          <w:rFonts w:ascii="Times New Roman" w:hAnsi="Times New Roman"/>
          <w:spacing w:val="-1"/>
          <w:sz w:val="28"/>
        </w:rPr>
        <w:t xml:space="preserve">немедленному приему </w:t>
      </w:r>
      <w:r>
        <w:rPr>
          <w:rFonts w:ascii="Times New Roman" w:hAnsi="Times New Roman"/>
          <w:spacing w:val="-1"/>
          <w:sz w:val="28"/>
        </w:rPr>
        <w:t xml:space="preserve">укрываемых.    </w:t>
      </w:r>
    </w:p>
    <w:p w14:paraId="77000000">
      <w:pPr>
        <w:widowControl w:val="0"/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1"/>
          <w:sz w:val="28"/>
        </w:rPr>
        <w:t>В мирное время защитные сооружения в установленном порядке могут использоваться для нужд предприятий, учреждений, организаций и обслуживания населения, а также для защиты населения от поражающих факторов, вызванных чрезвычайными ситуациями природного и техногенного характера, с сохранением возможности приведения их в заданные сроки в состояние готовности к использованию по назначению.</w:t>
      </w:r>
    </w:p>
    <w:p w14:paraId="78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7900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1"/>
          <w:color w:val="FF0000"/>
          <w:sz w:val="28"/>
        </w:rPr>
      </w:pPr>
      <w:r>
        <w:rPr>
          <w:rFonts w:ascii="Times New Roman" w:hAnsi="Times New Roman"/>
          <w:b w:val="1"/>
          <w:sz w:val="28"/>
        </w:rPr>
        <w:t>3</w:t>
      </w:r>
      <w:r>
        <w:rPr>
          <w:rFonts w:ascii="Times New Roman" w:hAnsi="Times New Roman"/>
          <w:b w:val="1"/>
          <w:sz w:val="28"/>
        </w:rPr>
        <w:t xml:space="preserve">. </w:t>
      </w:r>
      <w:r>
        <w:rPr>
          <w:rFonts w:ascii="Times New Roman" w:hAnsi="Times New Roman"/>
          <w:b w:val="1"/>
          <w:sz w:val="28"/>
        </w:rPr>
        <w:t>ПОЛНОМОЧИЯ ОРГАНОВ МЕСТНОГО САМОУПРАВЛЕНИЯ В ОБЛАСТИ ГРАЖДАНСКОЙ ОБОРОНЫ</w:t>
      </w:r>
      <w:bookmarkEnd w:id="5"/>
      <w:r>
        <w:rPr>
          <w:rFonts w:ascii="Times New Roman" w:hAnsi="Times New Roman"/>
          <w:b w:val="1"/>
          <w:sz w:val="28"/>
        </w:rPr>
        <w:t xml:space="preserve"> (ПО УКРЫТИЮ НАСЕЛЕНИЯ)</w:t>
      </w:r>
    </w:p>
    <w:p w14:paraId="7A000000">
      <w:pPr>
        <w:widowControl w:val="0"/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7B000000">
      <w:pPr>
        <w:widowControl w:val="0"/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 xml:space="preserve">В соответствии с пунктом 2 статьи 8 Федерального закона от 12 февраля </w:t>
      </w:r>
      <w:r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sz w:val="28"/>
        </w:rPr>
        <w:t xml:space="preserve">1998 г. </w:t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"http://files.stroyinf.ru/Data1/5/5869/index.htm" \o "О гражданской обороне"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№ 28-ФЗ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 xml:space="preserve"> «О гражданской обороне» органы местного самоуправления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(далее – ОМСУ)</w:t>
      </w:r>
      <w:r>
        <w:rPr>
          <w:rFonts w:ascii="Times New Roman" w:hAnsi="Times New Roman"/>
          <w:sz w:val="28"/>
        </w:rPr>
        <w:t xml:space="preserve"> в пределах границ муниципальных образований в области гра</w:t>
      </w:r>
      <w:r>
        <w:rPr>
          <w:rFonts w:ascii="Times New Roman" w:hAnsi="Times New Roman"/>
          <w:sz w:val="28"/>
        </w:rPr>
        <w:t xml:space="preserve">жданской обороны самостоятельно </w:t>
      </w:r>
      <w:r>
        <w:rPr>
          <w:rFonts w:ascii="Times New Roman" w:hAnsi="Times New Roman"/>
          <w:b w:val="1"/>
          <w:sz w:val="28"/>
        </w:rPr>
        <w:t xml:space="preserve">создают и поддерживают в состоянии постоянной готовности к использованию </w:t>
      </w:r>
      <w:r>
        <w:rPr>
          <w:rFonts w:ascii="Times New Roman" w:hAnsi="Times New Roman"/>
          <w:sz w:val="28"/>
        </w:rPr>
        <w:t xml:space="preserve">муниципальные системы оповещения населения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характера, </w:t>
      </w:r>
      <w:r>
        <w:rPr>
          <w:rFonts w:ascii="Times New Roman" w:hAnsi="Times New Roman"/>
          <w:b w:val="1"/>
          <w:sz w:val="28"/>
        </w:rPr>
        <w:t>защитные сооружения и другие объекты гражданской обороны</w:t>
      </w:r>
      <w:r>
        <w:rPr>
          <w:rFonts w:ascii="Times New Roman" w:hAnsi="Times New Roman"/>
          <w:b w:val="1"/>
          <w:sz w:val="28"/>
        </w:rPr>
        <w:t>.</w:t>
      </w:r>
    </w:p>
    <w:p w14:paraId="7C000000">
      <w:pPr>
        <w:widowControl w:val="0"/>
        <w:spacing w:after="0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Постановлением Правительства Российской Федерации от 29 ноября 1999 г. № 1309 «О порядке создания убежищ и иных объектов гражданской обороны» о</w:t>
      </w:r>
      <w:r>
        <w:rPr>
          <w:rFonts w:ascii="Times New Roman" w:hAnsi="Times New Roman"/>
          <w:sz w:val="28"/>
        </w:rPr>
        <w:t>рганы местного самоуправления на соответствующих территориях:</w:t>
      </w:r>
    </w:p>
    <w:p w14:paraId="7D000000">
      <w:pPr>
        <w:widowControl w:val="0"/>
        <w:spacing w:after="0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определяют общую потребность в объектах гражданской обороны;</w:t>
      </w:r>
    </w:p>
    <w:p w14:paraId="7E000000">
      <w:pPr>
        <w:widowControl w:val="0"/>
        <w:spacing w:after="0"/>
        <w:ind w:firstLine="720" w:left="0"/>
        <w:jc w:val="both"/>
        <w:rPr>
          <w:rFonts w:ascii="Times New Roman" w:hAnsi="Times New Roman"/>
          <w:sz w:val="28"/>
        </w:rPr>
      </w:pPr>
      <w:bookmarkStart w:id="6" w:name="sub_1008"/>
      <w:r>
        <w:rPr>
          <w:rFonts w:ascii="Times New Roman" w:hAnsi="Times New Roman"/>
          <w:sz w:val="28"/>
        </w:rPr>
        <w:t>в мирное время создают, сохраняют существующие объекты гражданской обороны и поддерживают их в состоянии постоянной готовности к использованию;</w:t>
      </w:r>
      <w:bookmarkEnd w:id="6"/>
    </w:p>
    <w:p w14:paraId="7F000000">
      <w:pPr>
        <w:widowControl w:val="0"/>
        <w:spacing w:after="0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осуществляют контроль за созданием объектов гражданской обороны и поддержанием их в состоянии постоянной готовности к использованию;</w:t>
      </w:r>
    </w:p>
    <w:p w14:paraId="80000000">
      <w:pPr>
        <w:widowControl w:val="0"/>
        <w:spacing w:after="0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ведут учет существующих и создаваемых объектов гражданской обороны.</w:t>
      </w:r>
    </w:p>
    <w:p w14:paraId="81000000">
      <w:pPr>
        <w:widowControl w:val="0"/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Пунктом 10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 xml:space="preserve">остановления Правительства Российской Федерации от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26 ноября 2007 г. № 804 «Об утверждении Положения о гражданской обороне в Российской Федерации» определенно, что основными мероприятиями по гражданской обороне, осуществляемыми в целях решения задачи, связанной с предоставлением населению средств коллективной защиты, являются:</w:t>
      </w:r>
    </w:p>
    <w:p w14:paraId="82000000">
      <w:pPr>
        <w:widowControl w:val="0"/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приспособление в мирное время и при приведении гражданской обороны в готовность к ее ведению и в ходе ее ведения в военное время заглубленных помещений и других сооружений подземного пространства для укрытия населения;</w:t>
      </w:r>
    </w:p>
    <w:p w14:paraId="83000000">
      <w:pPr>
        <w:widowControl w:val="0"/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подготовка в мирное время и строительство при приведении гражданской обороны в готовность к ее ведению и в ходе ее ведения в военное время быстровозводимых защитных сооружений гражданской обороны с упрощенным </w:t>
      </w:r>
      <w:r>
        <w:rPr>
          <w:rFonts w:ascii="Times New Roman" w:hAnsi="Times New Roman"/>
          <w:sz w:val="28"/>
        </w:rPr>
        <w:t>внутренним оборудованием и укрытий простейшего типа;</w:t>
      </w:r>
    </w:p>
    <w:p w14:paraId="84000000">
      <w:pPr>
        <w:widowControl w:val="0"/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обеспечение укрытия населения в защитных сооружениях гражданской обороны, в заглубленных помещениях и других сооружениях подземного пространства</w:t>
      </w:r>
      <w:r>
        <w:rPr>
          <w:rFonts w:ascii="Times New Roman" w:hAnsi="Times New Roman"/>
          <w:sz w:val="28"/>
        </w:rPr>
        <w:t>.</w:t>
      </w:r>
    </w:p>
    <w:p w14:paraId="85000000">
      <w:pPr>
        <w:widowControl w:val="0"/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реализации полномочий по </w:t>
      </w:r>
      <w:r>
        <w:rPr>
          <w:rFonts w:ascii="Times New Roman" w:hAnsi="Times New Roman"/>
          <w:sz w:val="28"/>
        </w:rPr>
        <w:t xml:space="preserve">обеспечению укрытия населения </w:t>
      </w:r>
      <w:r>
        <w:rPr>
          <w:rFonts w:ascii="Times New Roman" w:hAnsi="Times New Roman"/>
          <w:sz w:val="28"/>
        </w:rPr>
        <w:t>в городском округе, муниципальном районе принима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тся правов</w:t>
      </w:r>
      <w:r>
        <w:rPr>
          <w:rFonts w:ascii="Times New Roman" w:hAnsi="Times New Roman"/>
          <w:sz w:val="28"/>
        </w:rPr>
        <w:t>ой акт:</w:t>
      </w:r>
    </w:p>
    <w:p w14:paraId="86000000">
      <w:pPr>
        <w:pStyle w:val="Style_6"/>
        <w:widowControl w:val="0"/>
        <w:tabs>
          <w:tab w:leader="none" w:pos="1134" w:val="left"/>
        </w:tabs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О мерах по сохранению и рациональному использованию защитных сооружений и иных объектов гражданской обороны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.</w:t>
      </w:r>
    </w:p>
    <w:p w14:paraId="87000000">
      <w:pPr>
        <w:widowControl w:val="0"/>
        <w:spacing w:after="0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Также п</w:t>
      </w:r>
      <w:r>
        <w:rPr>
          <w:rFonts w:ascii="Times New Roman" w:hAnsi="Times New Roman"/>
          <w:sz w:val="28"/>
        </w:rPr>
        <w:t xml:space="preserve">остановлением Правительства Российской Федерации от 29 ноября 1999 г. № 1309 «О порядке создания убежищ и иных объектов гражданской обороны» </w:t>
      </w:r>
      <w:r>
        <w:rPr>
          <w:rFonts w:ascii="Times New Roman" w:hAnsi="Times New Roman"/>
          <w:sz w:val="28"/>
        </w:rPr>
        <w:t xml:space="preserve">определено, что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рганизации:</w:t>
      </w:r>
    </w:p>
    <w:p w14:paraId="88000000">
      <w:pPr>
        <w:pStyle w:val="Style_6"/>
        <w:widowControl w:val="0"/>
        <w:tabs>
          <w:tab w:leader="none" w:pos="1134" w:val="left"/>
        </w:tabs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создают в мирное время по согласованию с федеральными органами исполнительной власти, органами исполнительной власти субъектов Российской Федерации и органами местного самоуправления, в сфере ведения которых они находятся, объекты гражданской обороны;</w:t>
      </w:r>
    </w:p>
    <w:p w14:paraId="89000000">
      <w:pPr>
        <w:pStyle w:val="Style_6"/>
        <w:widowControl w:val="0"/>
        <w:tabs>
          <w:tab w:leader="none" w:pos="1134" w:val="left"/>
        </w:tabs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обеспечивают сохранность существующих объектов гражданской обороны, в том числе сооружений метрополитенов, используемых в качестве защитных сооружений гражданской обороны, принимают меры по поддержанию их в состоянии постоянной готовности к использованию</w:t>
      </w:r>
      <w:r>
        <w:rPr>
          <w:rFonts w:ascii="Times New Roman" w:hAnsi="Times New Roman"/>
          <w:sz w:val="28"/>
        </w:rPr>
        <w:t>.</w:t>
      </w:r>
    </w:p>
    <w:p w14:paraId="8A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ОМСУ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во взаимодействии</w:t>
      </w:r>
      <w:r>
        <w:rPr>
          <w:rFonts w:ascii="Times New Roman" w:hAnsi="Times New Roman"/>
          <w:sz w:val="28"/>
        </w:rPr>
        <w:t xml:space="preserve"> с </w:t>
      </w:r>
      <w:r>
        <w:rPr>
          <w:rFonts w:ascii="Times New Roman" w:hAnsi="Times New Roman"/>
          <w:sz w:val="28"/>
        </w:rPr>
        <w:t>организациями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отвечающи</w:t>
      </w:r>
      <w:r>
        <w:rPr>
          <w:rFonts w:ascii="Times New Roman" w:hAnsi="Times New Roman"/>
          <w:sz w:val="28"/>
        </w:rPr>
        <w:t>ми</w:t>
      </w:r>
      <w:r>
        <w:rPr>
          <w:rFonts w:ascii="Times New Roman" w:hAnsi="Times New Roman"/>
          <w:sz w:val="28"/>
        </w:rPr>
        <w:t xml:space="preserve"> за содержание общего имущества в многоквартирных домах (УК, ТСЖ, ТСН, ЖСК, ЖЭК, ПЖСК, ЖЭПК) (далее – обслуживающие организации)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другими организациями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имеющи</w:t>
      </w:r>
      <w:r>
        <w:rPr>
          <w:rFonts w:ascii="Times New Roman" w:hAnsi="Times New Roman"/>
          <w:sz w:val="28"/>
        </w:rPr>
        <w:t>ми</w:t>
      </w:r>
      <w:r>
        <w:rPr>
          <w:rFonts w:ascii="Times New Roman" w:hAnsi="Times New Roman"/>
          <w:sz w:val="28"/>
        </w:rPr>
        <w:t xml:space="preserve"> на балансе подвальные (заглубленные) помещения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рекомендовано</w:t>
      </w:r>
      <w:r>
        <w:rPr>
          <w:rFonts w:ascii="Times New Roman" w:hAnsi="Times New Roman"/>
          <w:sz w:val="28"/>
        </w:rPr>
        <w:t xml:space="preserve"> информировать граждан о наличии, места расположения (</w:t>
      </w:r>
      <w:r>
        <w:rPr>
          <w:rFonts w:ascii="Times New Roman" w:hAnsi="Times New Roman"/>
          <w:sz w:val="28"/>
        </w:rPr>
        <w:t>точный адрес, наименование улицы, номер дома</w:t>
      </w:r>
      <w:r>
        <w:rPr>
          <w:rFonts w:ascii="Times New Roman" w:hAnsi="Times New Roman"/>
          <w:sz w:val="28"/>
        </w:rPr>
        <w:t>) заглубленных и других помещени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подземного пространства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предназначенных для укрытия </w:t>
      </w:r>
      <w:r>
        <w:rPr>
          <w:rFonts w:ascii="Times New Roman" w:hAnsi="Times New Roman"/>
          <w:sz w:val="28"/>
        </w:rPr>
        <w:t>населени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>.</w:t>
      </w:r>
    </w:p>
    <w:p w14:paraId="8B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</w:p>
    <w:p w14:paraId="8C000000">
      <w:pPr>
        <w:spacing w:after="0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Примерный п</w:t>
      </w:r>
      <w:r>
        <w:rPr>
          <w:rFonts w:ascii="Times New Roman" w:hAnsi="Times New Roman"/>
          <w:b w:val="1"/>
          <w:sz w:val="28"/>
        </w:rPr>
        <w:t>орядок информирования населения о месте расположения заглубленных и других помещений подземного пространства</w:t>
      </w:r>
      <w:r>
        <w:rPr>
          <w:rFonts w:ascii="Times New Roman" w:hAnsi="Times New Roman"/>
          <w:b w:val="1"/>
          <w:sz w:val="28"/>
        </w:rPr>
        <w:t>.</w:t>
      </w:r>
    </w:p>
    <w:p w14:paraId="8D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Информирование граждан о местах расположения защитных сооружени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гражданской обороны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заглубленных и </w:t>
      </w:r>
      <w:r>
        <w:rPr>
          <w:rFonts w:ascii="Times New Roman" w:hAnsi="Times New Roman"/>
          <w:sz w:val="28"/>
        </w:rPr>
        <w:t>других помещени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подземного пространства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предназначенных для укрытия населения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необходимо </w:t>
      </w:r>
      <w:r>
        <w:rPr>
          <w:rFonts w:ascii="Times New Roman" w:hAnsi="Times New Roman"/>
          <w:sz w:val="28"/>
        </w:rPr>
        <w:t>проводит</w:t>
      </w:r>
      <w:r>
        <w:rPr>
          <w:rFonts w:ascii="Times New Roman" w:hAnsi="Times New Roman"/>
          <w:sz w:val="28"/>
        </w:rPr>
        <w:t>ь</w:t>
      </w:r>
      <w:r>
        <w:rPr>
          <w:rFonts w:ascii="Times New Roman" w:hAnsi="Times New Roman"/>
          <w:sz w:val="28"/>
        </w:rPr>
        <w:t xml:space="preserve"> заблаговременно.</w:t>
      </w:r>
    </w:p>
    <w:p w14:paraId="8E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Информацию (наглядную информацию) </w:t>
      </w:r>
      <w:r>
        <w:rPr>
          <w:rFonts w:ascii="Times New Roman" w:hAnsi="Times New Roman"/>
          <w:sz w:val="28"/>
        </w:rPr>
        <w:t xml:space="preserve">о местах расположения </w:t>
      </w:r>
      <w:r>
        <w:rPr>
          <w:rFonts w:ascii="Times New Roman" w:hAnsi="Times New Roman"/>
          <w:sz w:val="28"/>
        </w:rPr>
        <w:t xml:space="preserve">заглубленных и </w:t>
      </w:r>
      <w:r>
        <w:rPr>
          <w:rFonts w:ascii="Times New Roman" w:hAnsi="Times New Roman"/>
          <w:sz w:val="28"/>
        </w:rPr>
        <w:t>других помещени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подземного пространства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предназначенных для укрытия населения необходимо размещать </w:t>
      </w:r>
      <w:r>
        <w:rPr>
          <w:rFonts w:ascii="Times New Roman" w:hAnsi="Times New Roman"/>
          <w:sz w:val="28"/>
        </w:rPr>
        <w:t>в местах общего пользования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в подъездах</w:t>
      </w:r>
      <w:r>
        <w:rPr>
          <w:rFonts w:ascii="Times New Roman" w:hAnsi="Times New Roman"/>
          <w:sz w:val="28"/>
        </w:rPr>
        <w:t xml:space="preserve"> многоквартирных домов, лифтах, на</w:t>
      </w:r>
      <w:r>
        <w:rPr>
          <w:rFonts w:ascii="Times New Roman" w:hAnsi="Times New Roman"/>
          <w:sz w:val="28"/>
        </w:rPr>
        <w:t xml:space="preserve"> досках объявлений</w:t>
      </w:r>
      <w:r>
        <w:rPr>
          <w:rFonts w:ascii="Times New Roman" w:hAnsi="Times New Roman"/>
          <w:sz w:val="28"/>
        </w:rPr>
        <w:t xml:space="preserve"> и т.д</w:t>
      </w:r>
      <w:r>
        <w:rPr>
          <w:rFonts w:ascii="Times New Roman" w:hAnsi="Times New Roman"/>
          <w:sz w:val="28"/>
        </w:rPr>
        <w:t>.</w:t>
      </w:r>
    </w:p>
    <w:p w14:paraId="8F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Также необходимо размещать информацию на официальных сайтах администрации </w:t>
      </w:r>
      <w:r>
        <w:rPr>
          <w:rFonts w:ascii="Times New Roman" w:hAnsi="Times New Roman"/>
          <w:sz w:val="28"/>
        </w:rPr>
        <w:t>ОМСУ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обслуживающих организаци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в учебно-консультационных пунктах муниципальных образований.</w:t>
      </w:r>
    </w:p>
    <w:p w14:paraId="90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Информация должна быть наглядной и понятной для населения вне зависимости от возраста.</w:t>
      </w:r>
    </w:p>
    <w:p w14:paraId="91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 нет подва</w:t>
      </w:r>
      <w:r>
        <w:rPr>
          <w:rFonts w:ascii="Times New Roman" w:hAnsi="Times New Roman"/>
          <w:sz w:val="28"/>
        </w:rPr>
        <w:t>льных помещений</w:t>
      </w:r>
      <w:r>
        <w:rPr>
          <w:rFonts w:ascii="Times New Roman" w:hAnsi="Times New Roman"/>
          <w:sz w:val="28"/>
        </w:rPr>
        <w:t>, жильцы должны быть проинформированы об имеющихся ближайших укрыти</w:t>
      </w:r>
      <w:r>
        <w:rPr>
          <w:rFonts w:ascii="Times New Roman" w:hAnsi="Times New Roman"/>
          <w:sz w:val="28"/>
        </w:rPr>
        <w:t>ях</w:t>
      </w:r>
      <w:r>
        <w:rPr>
          <w:rFonts w:ascii="Times New Roman" w:hAnsi="Times New Roman"/>
          <w:sz w:val="28"/>
        </w:rPr>
        <w:t>.</w:t>
      </w:r>
    </w:p>
    <w:p w14:paraId="92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Маршруты движения к укрытию необходимо обозначать указателями в местах, где обеспечивается хорошая видимость в дневное и ночное время.</w:t>
      </w:r>
    </w:p>
    <w:p w14:paraId="93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</w:p>
    <w:p w14:paraId="94000000">
      <w:pPr>
        <w:spacing w:after="0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Мероприятия органов местного самоуправления</w:t>
      </w:r>
    </w:p>
    <w:p w14:paraId="95000000">
      <w:pPr>
        <w:spacing w:after="0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96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целях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предоставлени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населению средств коллективной защиты (заглубленные и другие помещения подземного пространства) на территории </w:t>
      </w:r>
      <w:r>
        <w:rPr>
          <w:rFonts w:ascii="Times New Roman" w:hAnsi="Times New Roman"/>
          <w:sz w:val="28"/>
        </w:rPr>
        <w:t>муниципального образования рекоменд</w:t>
      </w:r>
      <w:r>
        <w:rPr>
          <w:rFonts w:ascii="Times New Roman" w:hAnsi="Times New Roman"/>
          <w:sz w:val="28"/>
        </w:rPr>
        <w:t>уется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органам местного самоуправления </w:t>
      </w:r>
      <w:r>
        <w:rPr>
          <w:rFonts w:ascii="Times New Roman" w:hAnsi="Times New Roman"/>
          <w:sz w:val="28"/>
        </w:rPr>
        <w:t xml:space="preserve">принять </w:t>
      </w:r>
      <w:r>
        <w:rPr>
          <w:rFonts w:ascii="Times New Roman" w:hAnsi="Times New Roman"/>
          <w:sz w:val="28"/>
        </w:rPr>
        <w:t>муниципальный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правов</w:t>
      </w:r>
      <w:r>
        <w:rPr>
          <w:rFonts w:ascii="Times New Roman" w:hAnsi="Times New Roman"/>
          <w:sz w:val="28"/>
        </w:rPr>
        <w:t>ой акт</w:t>
      </w:r>
      <w:r>
        <w:rPr>
          <w:rFonts w:ascii="Times New Roman" w:hAnsi="Times New Roman"/>
          <w:sz w:val="28"/>
        </w:rPr>
        <w:t xml:space="preserve"> (протокол заседания КЧС и ПБ муниципального образования</w:t>
      </w:r>
      <w:r>
        <w:rPr>
          <w:rFonts w:ascii="Times New Roman" w:hAnsi="Times New Roman"/>
          <w:sz w:val="28"/>
        </w:rPr>
        <w:t xml:space="preserve"> или протокол суженного заседания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>.</w:t>
      </w:r>
    </w:p>
    <w:p w14:paraId="97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муниципальный </w:t>
      </w:r>
      <w:r>
        <w:rPr>
          <w:rFonts w:ascii="Times New Roman" w:hAnsi="Times New Roman"/>
          <w:sz w:val="28"/>
        </w:rPr>
        <w:t xml:space="preserve">правовом акте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протоколе заседания</w:t>
      </w:r>
      <w:r>
        <w:rPr>
          <w:rFonts w:ascii="Times New Roman" w:hAnsi="Times New Roman"/>
          <w:sz w:val="28"/>
        </w:rPr>
        <w:t xml:space="preserve"> КЧС и ПБ муниципального образования</w:t>
      </w:r>
      <w:r>
        <w:rPr>
          <w:rFonts w:ascii="Times New Roman" w:hAnsi="Times New Roman"/>
          <w:sz w:val="28"/>
        </w:rPr>
        <w:t xml:space="preserve"> или суженного </w:t>
      </w:r>
      <w:r>
        <w:rPr>
          <w:rFonts w:ascii="Times New Roman" w:hAnsi="Times New Roman"/>
          <w:sz w:val="28"/>
        </w:rPr>
        <w:t>заседания</w:t>
      </w:r>
      <w:r>
        <w:rPr>
          <w:rFonts w:ascii="Times New Roman" w:hAnsi="Times New Roman"/>
          <w:sz w:val="28"/>
        </w:rPr>
        <w:t xml:space="preserve">) </w:t>
      </w:r>
      <w:r>
        <w:rPr>
          <w:rFonts w:ascii="Times New Roman" w:hAnsi="Times New Roman"/>
          <w:sz w:val="28"/>
        </w:rPr>
        <w:t xml:space="preserve">необходимо </w:t>
      </w:r>
      <w:r>
        <w:rPr>
          <w:rFonts w:ascii="Times New Roman" w:hAnsi="Times New Roman"/>
          <w:sz w:val="28"/>
        </w:rPr>
        <w:t>определить задачи по предоставлению населению заглубленных и други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помещений подземного пространства </w:t>
      </w:r>
      <w:r>
        <w:rPr>
          <w:rFonts w:ascii="Times New Roman" w:hAnsi="Times New Roman"/>
          <w:sz w:val="28"/>
        </w:rPr>
        <w:t>структурны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 xml:space="preserve"> подразделения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 xml:space="preserve"> ОМСУ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учреждениям </w:t>
      </w:r>
      <w:r>
        <w:rPr>
          <w:rFonts w:ascii="Times New Roman" w:hAnsi="Times New Roman"/>
          <w:sz w:val="28"/>
        </w:rPr>
        <w:t>и организациям (</w:t>
      </w:r>
      <w:r>
        <w:rPr>
          <w:rFonts w:ascii="Times New Roman" w:hAnsi="Times New Roman"/>
          <w:sz w:val="28"/>
        </w:rPr>
        <w:t>уполномоченн</w:t>
      </w:r>
      <w:r>
        <w:rPr>
          <w:rFonts w:ascii="Times New Roman" w:hAnsi="Times New Roman"/>
          <w:sz w:val="28"/>
        </w:rPr>
        <w:t>ым</w:t>
      </w:r>
      <w:r>
        <w:rPr>
          <w:rFonts w:ascii="Times New Roman" w:hAnsi="Times New Roman"/>
          <w:sz w:val="28"/>
        </w:rPr>
        <w:t xml:space="preserve"> на решение задач гражданской обороны и защиты населения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орга</w:t>
      </w:r>
      <w:r>
        <w:rPr>
          <w:rFonts w:ascii="Times New Roman" w:hAnsi="Times New Roman"/>
          <w:sz w:val="28"/>
        </w:rPr>
        <w:t>низациям, учреждениям осуществляющих деятельность в отрасли жилищно-коммунального</w:t>
      </w:r>
      <w:r>
        <w:rPr>
          <w:rFonts w:ascii="Times New Roman" w:hAnsi="Times New Roman"/>
          <w:sz w:val="28"/>
        </w:rPr>
        <w:t xml:space="preserve"> хозяйства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обслуживающи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 xml:space="preserve"> организаци</w:t>
      </w:r>
      <w:r>
        <w:rPr>
          <w:rFonts w:ascii="Times New Roman" w:hAnsi="Times New Roman"/>
          <w:sz w:val="28"/>
        </w:rPr>
        <w:t>ям</w:t>
      </w:r>
      <w:r>
        <w:rPr>
          <w:rFonts w:ascii="Times New Roman" w:hAnsi="Times New Roman"/>
          <w:sz w:val="28"/>
        </w:rPr>
        <w:t xml:space="preserve"> многоквартирных домов</w:t>
      </w:r>
      <w:r>
        <w:rPr>
          <w:rFonts w:ascii="Times New Roman" w:hAnsi="Times New Roman"/>
          <w:sz w:val="28"/>
        </w:rPr>
        <w:t>, а также другим структурным подразделениям ОМСУ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>.</w:t>
      </w:r>
    </w:p>
    <w:p w14:paraId="98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Основными задачами </w:t>
      </w:r>
      <w:r>
        <w:rPr>
          <w:rFonts w:ascii="Times New Roman" w:hAnsi="Times New Roman"/>
          <w:sz w:val="28"/>
        </w:rPr>
        <w:t xml:space="preserve">рекомендовано </w:t>
      </w:r>
      <w:r>
        <w:rPr>
          <w:rFonts w:ascii="Times New Roman" w:hAnsi="Times New Roman"/>
          <w:sz w:val="28"/>
        </w:rPr>
        <w:t>считать</w:t>
      </w:r>
      <w:r>
        <w:rPr>
          <w:rFonts w:ascii="Times New Roman" w:hAnsi="Times New Roman"/>
          <w:sz w:val="28"/>
        </w:rPr>
        <w:t>:</w:t>
      </w:r>
    </w:p>
    <w:p w14:paraId="99000000">
      <w:pPr>
        <w:pStyle w:val="Style_6"/>
        <w:numPr>
          <w:ilvl w:val="0"/>
          <w:numId w:val="1"/>
        </w:num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перечня</w:t>
      </w:r>
      <w:r>
        <w:rPr>
          <w:rFonts w:ascii="Times New Roman" w:hAnsi="Times New Roman"/>
          <w:sz w:val="28"/>
        </w:rPr>
        <w:t xml:space="preserve"> имеющегося фонда защитных сооружений гражданской обороны, которые не используются для укрытия персонала организаций или имеют большую вместимость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чем НРС организации и в могут принять  населения близлежащих жилых домов.</w:t>
      </w:r>
    </w:p>
    <w:p w14:paraId="9A000000">
      <w:pPr>
        <w:pStyle w:val="Style_6"/>
        <w:numPr>
          <w:ilvl w:val="0"/>
          <w:numId w:val="1"/>
        </w:num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Уточн</w:t>
      </w:r>
      <w:r>
        <w:rPr>
          <w:rFonts w:ascii="Times New Roman" w:hAnsi="Times New Roman"/>
          <w:sz w:val="28"/>
        </w:rPr>
        <w:t>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переч</w:t>
      </w:r>
      <w:r>
        <w:rPr>
          <w:rFonts w:ascii="Times New Roman" w:hAnsi="Times New Roman"/>
          <w:sz w:val="28"/>
        </w:rPr>
        <w:t>ня</w:t>
      </w:r>
      <w:r>
        <w:rPr>
          <w:rFonts w:ascii="Times New Roman" w:hAnsi="Times New Roman"/>
          <w:sz w:val="28"/>
        </w:rPr>
        <w:t xml:space="preserve"> (реестр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) заглубленных и других помещений подземного пространства (подвалы жилых домов, подземные пешеходные переходы, тоннели, цокольные этажи зданий, автомобильные подземные паркинги).</w:t>
      </w:r>
    </w:p>
    <w:p w14:paraId="9B000000">
      <w:pPr>
        <w:pStyle w:val="Style_6"/>
        <w:numPr>
          <w:ilvl w:val="0"/>
          <w:numId w:val="1"/>
        </w:num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>оведени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информации до населения об имеющихся на территории муниципального образования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защитных сооружений гражданской обороны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заглубленных и других помещений подземного пространства, а также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порядк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действий населения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>их использованию</w:t>
      </w:r>
      <w:r>
        <w:rPr>
          <w:rFonts w:ascii="Times New Roman" w:hAnsi="Times New Roman"/>
          <w:sz w:val="28"/>
        </w:rPr>
        <w:t xml:space="preserve"> при получении сигнала </w:t>
      </w:r>
      <w:r>
        <w:rPr>
          <w:rFonts w:ascii="Times New Roman" w:hAnsi="Times New Roman"/>
          <w:sz w:val="28"/>
        </w:rPr>
        <w:t xml:space="preserve">гражданской обороны </w:t>
      </w:r>
      <w:r>
        <w:rPr>
          <w:rFonts w:ascii="Times New Roman" w:hAnsi="Times New Roman"/>
          <w:sz w:val="28"/>
        </w:rPr>
        <w:t>«Внимание всем!»</w:t>
      </w:r>
      <w:r>
        <w:rPr>
          <w:rFonts w:ascii="Times New Roman" w:hAnsi="Times New Roman"/>
          <w:sz w:val="28"/>
        </w:rPr>
        <w:t>.</w:t>
      </w:r>
    </w:p>
    <w:p w14:paraId="9C000000">
      <w:pPr>
        <w:pStyle w:val="Style_6"/>
        <w:numPr>
          <w:ilvl w:val="0"/>
          <w:numId w:val="1"/>
        </w:num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одготовк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работников орга</w:t>
      </w:r>
      <w:r>
        <w:rPr>
          <w:rFonts w:ascii="Times New Roman" w:hAnsi="Times New Roman"/>
          <w:sz w:val="28"/>
        </w:rPr>
        <w:t>низаци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>, учреждени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осуществляющих деятельность в отрасли жилищно-коммунального хозяйства, а также обслуживающи</w:t>
      </w:r>
      <w:r>
        <w:rPr>
          <w:rFonts w:ascii="Times New Roman" w:hAnsi="Times New Roman"/>
          <w:sz w:val="28"/>
        </w:rPr>
        <w:t xml:space="preserve">х </w:t>
      </w:r>
      <w:r>
        <w:rPr>
          <w:rFonts w:ascii="Times New Roman" w:hAnsi="Times New Roman"/>
          <w:sz w:val="28"/>
        </w:rPr>
        <w:t>организаци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многоквартирных домов</w:t>
      </w:r>
      <w:r>
        <w:rPr>
          <w:rFonts w:ascii="Times New Roman" w:hAnsi="Times New Roman"/>
          <w:sz w:val="28"/>
        </w:rPr>
        <w:t xml:space="preserve"> по вопросу предоставления населению средств коллективной защиты (заглубленные и другие помещения подземного пространства)</w:t>
      </w:r>
      <w:r>
        <w:rPr>
          <w:rFonts w:ascii="Times New Roman" w:hAnsi="Times New Roman"/>
          <w:sz w:val="28"/>
        </w:rPr>
        <w:t>.</w:t>
      </w:r>
    </w:p>
    <w:p w14:paraId="9D000000">
      <w:pPr>
        <w:pStyle w:val="Style_6"/>
        <w:numPr>
          <w:ilvl w:val="0"/>
          <w:numId w:val="1"/>
        </w:num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риведени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и содержани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заглубленных и других помещений подземного пространства в состояни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, пригодн</w:t>
      </w:r>
      <w:r>
        <w:rPr>
          <w:rFonts w:ascii="Times New Roman" w:hAnsi="Times New Roman"/>
          <w:sz w:val="28"/>
        </w:rPr>
        <w:t>ом</w:t>
      </w:r>
      <w:r>
        <w:rPr>
          <w:rFonts w:ascii="Times New Roman" w:hAnsi="Times New Roman"/>
          <w:sz w:val="28"/>
        </w:rPr>
        <w:t xml:space="preserve"> для укрытия населения.</w:t>
      </w:r>
    </w:p>
    <w:p w14:paraId="9E000000">
      <w:pPr>
        <w:pStyle w:val="Style_6"/>
        <w:numPr>
          <w:ilvl w:val="0"/>
          <w:numId w:val="1"/>
        </w:num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роведени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осмотров, проверок содержания заглубленных и других помещений подземного пространства пригодн</w:t>
      </w:r>
      <w:r>
        <w:rPr>
          <w:rFonts w:ascii="Times New Roman" w:hAnsi="Times New Roman"/>
          <w:sz w:val="28"/>
        </w:rPr>
        <w:t>ых</w:t>
      </w:r>
      <w:r>
        <w:rPr>
          <w:rFonts w:ascii="Times New Roman" w:hAnsi="Times New Roman"/>
          <w:sz w:val="28"/>
        </w:rPr>
        <w:t xml:space="preserve"> для укрытия населения.</w:t>
      </w:r>
    </w:p>
    <w:p w14:paraId="9F000000">
      <w:pPr>
        <w:pStyle w:val="Style_6"/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Задачи по определени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перечня</w:t>
      </w:r>
      <w:r>
        <w:rPr>
          <w:rFonts w:ascii="Times New Roman" w:hAnsi="Times New Roman"/>
          <w:sz w:val="28"/>
        </w:rPr>
        <w:t xml:space="preserve"> имеющегося фонда защитных сооружений гражданской обороны, которые не используются для укрытия персонала организаций или имеют большую вместимость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чем НРС организации </w:t>
      </w:r>
      <w:r>
        <w:rPr>
          <w:rFonts w:ascii="Times New Roman" w:hAnsi="Times New Roman"/>
          <w:sz w:val="28"/>
        </w:rPr>
        <w:t xml:space="preserve">предлагается </w:t>
      </w:r>
      <w:r>
        <w:rPr>
          <w:rFonts w:ascii="Times New Roman" w:hAnsi="Times New Roman"/>
          <w:sz w:val="28"/>
        </w:rPr>
        <w:t>решать ОМСУ совместно с организациями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отнесенны</w:t>
      </w:r>
      <w:r>
        <w:rPr>
          <w:rFonts w:ascii="Times New Roman" w:hAnsi="Times New Roman"/>
          <w:sz w:val="28"/>
        </w:rPr>
        <w:t>ми</w:t>
      </w:r>
      <w:r>
        <w:rPr>
          <w:rFonts w:ascii="Times New Roman" w:hAnsi="Times New Roman"/>
          <w:sz w:val="28"/>
        </w:rPr>
        <w:t xml:space="preserve"> к категории по гражданской обороне.</w:t>
      </w:r>
    </w:p>
    <w:p w14:paraId="A0000000">
      <w:pPr>
        <w:spacing w:after="0"/>
        <w:ind w:firstLine="709" w:left="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>Задач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по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доведению информации до населения об имеющихся на территории муниципального образования заглубленных и других помещений подземного пространства, а также о порядке действий </w:t>
      </w:r>
      <w:r>
        <w:rPr>
          <w:rFonts w:ascii="Times New Roman" w:hAnsi="Times New Roman"/>
          <w:sz w:val="28"/>
        </w:rPr>
        <w:t>населения,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 использованию заглубленных и других помещений подземного пространства</w:t>
      </w:r>
      <w:r>
        <w:rPr>
          <w:rFonts w:ascii="Times New Roman" w:hAnsi="Times New Roman"/>
          <w:sz w:val="28"/>
        </w:rPr>
        <w:t xml:space="preserve"> при получении сигнала гражданской обороны «Внимание всем!» и п</w:t>
      </w:r>
      <w:r>
        <w:rPr>
          <w:rFonts w:ascii="Times New Roman" w:hAnsi="Times New Roman"/>
          <w:sz w:val="28"/>
        </w:rPr>
        <w:t>одготовк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работников организаций, учреждений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осуществляющих деятельность в отрасли жилищно-коммунального хозяйства, а также обслуживающих организаций многоквартирных домов по вопросу предоставления населению средств коллективной защиты (заглубленные и другие пом</w:t>
      </w:r>
      <w:r>
        <w:rPr>
          <w:rFonts w:ascii="Times New Roman" w:hAnsi="Times New Roman"/>
          <w:sz w:val="28"/>
        </w:rPr>
        <w:t xml:space="preserve">ещения подземного пространства) рекомендовано возложить </w:t>
      </w:r>
      <w:r>
        <w:rPr>
          <w:rFonts w:ascii="Times New Roman" w:hAnsi="Times New Roman"/>
          <w:sz w:val="28"/>
        </w:rPr>
        <w:t>на структурные подразделения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ОМСУ</w:t>
      </w:r>
      <w:r>
        <w:rPr>
          <w:rFonts w:ascii="Times New Roman" w:hAnsi="Times New Roman"/>
          <w:sz w:val="28"/>
        </w:rPr>
        <w:t>, уполномоченны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на решение задач гражданской обороны и защиты населения.</w:t>
      </w:r>
    </w:p>
    <w:p w14:paraId="A1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Задачу по п</w:t>
      </w:r>
      <w:r>
        <w:rPr>
          <w:rFonts w:ascii="Times New Roman" w:hAnsi="Times New Roman"/>
          <w:sz w:val="28"/>
        </w:rPr>
        <w:t>риведени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 xml:space="preserve"> и содержани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 xml:space="preserve"> заглубленных и других помещений подземного пространства в состояние, пригодн</w:t>
      </w:r>
      <w:r>
        <w:rPr>
          <w:rFonts w:ascii="Times New Roman" w:hAnsi="Times New Roman"/>
          <w:sz w:val="28"/>
        </w:rPr>
        <w:t>ое</w:t>
      </w:r>
      <w:r>
        <w:rPr>
          <w:rFonts w:ascii="Times New Roman" w:hAnsi="Times New Roman"/>
          <w:sz w:val="28"/>
        </w:rPr>
        <w:t xml:space="preserve"> для укрытия населени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рекомендовано возложить на </w:t>
      </w:r>
      <w:r>
        <w:rPr>
          <w:rFonts w:ascii="Times New Roman" w:hAnsi="Times New Roman"/>
          <w:sz w:val="28"/>
        </w:rPr>
        <w:t>обслуживающи</w:t>
      </w:r>
      <w:r>
        <w:rPr>
          <w:rFonts w:ascii="Times New Roman" w:hAnsi="Times New Roman"/>
          <w:sz w:val="28"/>
        </w:rPr>
        <w:t xml:space="preserve">е </w:t>
      </w:r>
      <w:r>
        <w:rPr>
          <w:rFonts w:ascii="Times New Roman" w:hAnsi="Times New Roman"/>
          <w:sz w:val="28"/>
        </w:rPr>
        <w:t>организаци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многоквартирных домов</w:t>
      </w:r>
      <w:r>
        <w:rPr>
          <w:rFonts w:ascii="Times New Roman" w:hAnsi="Times New Roman"/>
          <w:sz w:val="28"/>
        </w:rPr>
        <w:t xml:space="preserve"> в соответствии с </w:t>
      </w:r>
      <w:r>
        <w:rPr>
          <w:rFonts w:ascii="Times New Roman" w:hAnsi="Times New Roman"/>
          <w:sz w:val="28"/>
        </w:rPr>
        <w:t>пунктом 2 постановления Правительства Российской Федерации от 3 апреля 2013 г. № 290 «О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выполнения»</w:t>
      </w:r>
      <w:r>
        <w:rPr>
          <w:rFonts w:ascii="Times New Roman" w:hAnsi="Times New Roman"/>
          <w:sz w:val="28"/>
        </w:rPr>
        <w:t>.</w:t>
      </w:r>
    </w:p>
    <w:p w14:paraId="A2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Задачу по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роведени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 xml:space="preserve"> осмотров, проверок содержания заглубленных и других помещений подземного пространства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пригодн</w:t>
      </w:r>
      <w:r>
        <w:rPr>
          <w:rFonts w:ascii="Times New Roman" w:hAnsi="Times New Roman"/>
          <w:sz w:val="28"/>
        </w:rPr>
        <w:t>ых</w:t>
      </w:r>
      <w:r>
        <w:rPr>
          <w:rFonts w:ascii="Times New Roman" w:hAnsi="Times New Roman"/>
          <w:sz w:val="28"/>
        </w:rPr>
        <w:t xml:space="preserve"> для укрытия населения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возложить на </w:t>
      </w:r>
      <w:r>
        <w:rPr>
          <w:rFonts w:ascii="Times New Roman" w:hAnsi="Times New Roman"/>
          <w:sz w:val="28"/>
        </w:rPr>
        <w:t xml:space="preserve">обслуживающие организации совместно с </w:t>
      </w:r>
      <w:r>
        <w:rPr>
          <w:rFonts w:ascii="Times New Roman" w:hAnsi="Times New Roman"/>
          <w:sz w:val="28"/>
        </w:rPr>
        <w:t>орга</w:t>
      </w:r>
      <w:r>
        <w:rPr>
          <w:rFonts w:ascii="Times New Roman" w:hAnsi="Times New Roman"/>
          <w:sz w:val="28"/>
        </w:rPr>
        <w:t>низаци</w:t>
      </w:r>
      <w:r>
        <w:rPr>
          <w:rFonts w:ascii="Times New Roman" w:hAnsi="Times New Roman"/>
          <w:sz w:val="28"/>
        </w:rPr>
        <w:t>ями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sz w:val="28"/>
        </w:rPr>
        <w:t>учреждениями,</w:t>
      </w:r>
      <w:r>
        <w:rPr>
          <w:rFonts w:ascii="Times New Roman" w:hAnsi="Times New Roman"/>
          <w:sz w:val="28"/>
        </w:rPr>
        <w:t xml:space="preserve"> осуществляющи</w:t>
      </w:r>
      <w:r>
        <w:rPr>
          <w:rFonts w:ascii="Times New Roman" w:hAnsi="Times New Roman"/>
          <w:sz w:val="28"/>
        </w:rPr>
        <w:t>ми</w:t>
      </w:r>
      <w:r>
        <w:rPr>
          <w:rFonts w:ascii="Times New Roman" w:hAnsi="Times New Roman"/>
          <w:sz w:val="28"/>
        </w:rPr>
        <w:t xml:space="preserve"> деятельность в отрасли жилищно-коммунального хозяйства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структурны</w:t>
      </w:r>
      <w:r>
        <w:rPr>
          <w:rFonts w:ascii="Times New Roman" w:hAnsi="Times New Roman"/>
          <w:sz w:val="28"/>
        </w:rPr>
        <w:t>ми</w:t>
      </w:r>
      <w:r>
        <w:rPr>
          <w:rFonts w:ascii="Times New Roman" w:hAnsi="Times New Roman"/>
          <w:sz w:val="28"/>
        </w:rPr>
        <w:t xml:space="preserve"> подразделения</w:t>
      </w:r>
      <w:r>
        <w:rPr>
          <w:rFonts w:ascii="Times New Roman" w:hAnsi="Times New Roman"/>
          <w:sz w:val="28"/>
        </w:rPr>
        <w:t>ми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ОМСУ</w:t>
      </w:r>
      <w:r>
        <w:rPr>
          <w:rFonts w:ascii="Times New Roman" w:hAnsi="Times New Roman"/>
          <w:sz w:val="28"/>
        </w:rPr>
        <w:t>, уполномоченны</w:t>
      </w:r>
      <w:r>
        <w:rPr>
          <w:rFonts w:ascii="Times New Roman" w:hAnsi="Times New Roman"/>
          <w:sz w:val="28"/>
        </w:rPr>
        <w:t>ми</w:t>
      </w:r>
      <w:r>
        <w:rPr>
          <w:rFonts w:ascii="Times New Roman" w:hAnsi="Times New Roman"/>
          <w:sz w:val="28"/>
        </w:rPr>
        <w:t xml:space="preserve"> на решение задач гражданской обороны и защиты населения</w:t>
      </w:r>
      <w:r>
        <w:rPr>
          <w:rFonts w:ascii="Times New Roman" w:hAnsi="Times New Roman"/>
          <w:sz w:val="28"/>
        </w:rPr>
        <w:t>.</w:t>
      </w:r>
    </w:p>
    <w:p w14:paraId="A3000000">
      <w:pPr>
        <w:spacing w:after="0"/>
        <w:ind w:firstLine="709" w:left="0"/>
        <w:jc w:val="both"/>
        <w:rPr>
          <w:rFonts w:ascii="Times New Roman" w:hAnsi="Times New Roman"/>
          <w:sz w:val="8"/>
        </w:rPr>
      </w:pPr>
    </w:p>
    <w:p w14:paraId="A4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4</w:t>
      </w:r>
      <w:r>
        <w:rPr>
          <w:rFonts w:ascii="Times New Roman" w:hAnsi="Times New Roman"/>
          <w:b w:val="1"/>
          <w:sz w:val="32"/>
        </w:rPr>
        <w:t xml:space="preserve">. </w:t>
      </w:r>
      <w:r>
        <w:rPr>
          <w:rFonts w:ascii="Times New Roman" w:hAnsi="Times New Roman"/>
          <w:b w:val="1"/>
          <w:sz w:val="28"/>
        </w:rPr>
        <w:t>РЕКОМЕНДАЦИИ ПО УК</w:t>
      </w:r>
      <w:r>
        <w:rPr>
          <w:rFonts w:ascii="Times New Roman" w:hAnsi="Times New Roman"/>
          <w:b w:val="1"/>
          <w:sz w:val="28"/>
        </w:rPr>
        <w:t xml:space="preserve">РЫТИЮ НАСЕЛЕНИЯ </w:t>
      </w:r>
      <w:r>
        <w:rPr>
          <w:rFonts w:ascii="Times New Roman" w:hAnsi="Times New Roman"/>
          <w:b w:val="1"/>
          <w:sz w:val="28"/>
        </w:rPr>
        <w:br/>
      </w:r>
      <w:r>
        <w:rPr>
          <w:rFonts w:ascii="Times New Roman" w:hAnsi="Times New Roman"/>
          <w:b w:val="1"/>
          <w:sz w:val="28"/>
        </w:rPr>
        <w:t xml:space="preserve">В </w:t>
      </w:r>
      <w:r>
        <w:rPr>
          <w:rFonts w:ascii="Times New Roman" w:hAnsi="Times New Roman"/>
          <w:b w:val="1"/>
          <w:sz w:val="28"/>
        </w:rPr>
        <w:t>ЗАГЛУБЛЕННЫХ И ДРУГИХ ПОМЕ</w:t>
      </w:r>
      <w:r>
        <w:rPr>
          <w:rFonts w:ascii="Times New Roman" w:hAnsi="Times New Roman"/>
          <w:b w:val="1"/>
          <w:sz w:val="28"/>
        </w:rPr>
        <w:t xml:space="preserve">ЩЕНИЯХ ПОДЗЕМНОГО ПРОСТРАНСТВА </w:t>
      </w:r>
    </w:p>
    <w:p w14:paraId="A5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A6000000">
      <w:pPr>
        <w:spacing w:after="0"/>
        <w:ind/>
        <w:jc w:val="both"/>
        <w:rPr>
          <w:rFonts w:ascii="Times New Roman" w:hAnsi="Times New Roman"/>
          <w:sz w:val="2"/>
        </w:rPr>
      </w:pPr>
    </w:p>
    <w:p w14:paraId="A7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Общие понятия о заглубленных и других помещениях подземного пространства</w:t>
      </w:r>
    </w:p>
    <w:p w14:paraId="A8000000">
      <w:pPr>
        <w:spacing w:after="0"/>
        <w:ind w:firstLine="709" w:left="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Заглубленные и другие помещения подземного пространства предназначены для укрытия населения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от фугасного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 осколочного воздействия обычных средств поражения, поражения обломками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строительных конструкций</w:t>
      </w:r>
      <w:r>
        <w:rPr>
          <w:rFonts w:ascii="Times New Roman" w:hAnsi="Times New Roman"/>
          <w:color w:val="000000"/>
          <w:sz w:val="28"/>
        </w:rPr>
        <w:t>.</w:t>
      </w:r>
    </w:p>
    <w:p w14:paraId="A9000000">
      <w:pPr>
        <w:spacing w:after="0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Под заглубленными и другими помещениями подземного пространства понимаются помещения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z w:val="28"/>
        </w:rPr>
        <w:t xml:space="preserve"> отметка пола которых ни</w:t>
      </w:r>
      <w:r>
        <w:rPr>
          <w:rFonts w:ascii="Times New Roman" w:hAnsi="Times New Roman"/>
          <w:color w:val="000000"/>
          <w:sz w:val="28"/>
        </w:rPr>
        <w:t>же планировочной отметки земли.</w:t>
      </w:r>
    </w:p>
    <w:p w14:paraId="AA000000">
      <w:pPr>
        <w:spacing w:after="0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AB000000">
      <w:pPr>
        <w:spacing w:after="0"/>
        <w:ind w:firstLine="709" w:left="0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color w:val="000000"/>
          <w:sz w:val="28"/>
        </w:rPr>
        <w:t>К ним относятся:</w:t>
      </w:r>
    </w:p>
    <w:tbl>
      <w:tblPr>
        <w:tblStyle w:val="Style_7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2886"/>
        <w:gridCol w:w="7145"/>
      </w:tblGrid>
      <w:tr>
        <w:tc>
          <w:tcPr>
            <w:tcW w:type="dxa" w:w="288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AC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1692323" cy="1023582"/>
                  <wp:effectExtent b="0" l="0" r="0" t="0"/>
                  <wp:docPr hidden="false" id="4" name="Picture 4"/>
                  <a:graphic>
                    <a:graphicData uri="http://schemas.openxmlformats.org/drawingml/2006/picture">
                      <pic:pic>
                        <pic:nvPicPr>
                          <pic:cNvPr hidden="false" id="3" name="Picture 3"/>
                          <pic:cNvPicPr preferRelativeResize="true"/>
                        </pic:nvPicPr>
                        <pic:blipFill>
                          <a:blip r:embed="rId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692323" cy="102358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145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AD000000">
            <w:pPr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подвалы и цокольные этажи зданий, включая частный жилой сектор;</w:t>
            </w:r>
          </w:p>
        </w:tc>
      </w:tr>
      <w:tr>
        <w:tc>
          <w:tcPr>
            <w:tcW w:type="dxa" w:w="288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AE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1692323" cy="928047"/>
                  <wp:effectExtent b="0" l="0" r="0" t="0"/>
                  <wp:docPr hidden="false" id="6" name="Picture 6"/>
                  <a:graphic>
                    <a:graphicData uri="http://schemas.openxmlformats.org/drawingml/2006/picture">
                      <pic:pic>
                        <pic:nvPicPr>
                          <pic:cNvPr hidden="false" id="5" name="Picture 5"/>
                          <pic:cNvPicPr preferRelativeResize="true"/>
                        </pic:nvPicPr>
                        <pic:blipFill>
                          <a:blip r:embed="rId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692323" cy="92804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145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AF000000">
            <w:pPr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гаражи, складские и другие помещения, расположенные в отдельно стоящих и подв</w:t>
            </w:r>
            <w:r>
              <w:rPr>
                <w:rFonts w:ascii="Times New Roman" w:hAnsi="Times New Roman"/>
                <w:color w:val="000000"/>
                <w:sz w:val="28"/>
              </w:rPr>
              <w:t>альных этажах зданий и сооружен</w:t>
            </w:r>
            <w:r>
              <w:rPr>
                <w:rFonts w:ascii="Times New Roman" w:hAnsi="Times New Roman"/>
                <w:color w:val="000000"/>
                <w:sz w:val="28"/>
              </w:rPr>
              <w:t>ий</w:t>
            </w:r>
            <w:r>
              <w:rPr>
                <w:rFonts w:ascii="Times New Roman" w:hAnsi="Times New Roman"/>
                <w:color w:val="000000"/>
                <w:sz w:val="28"/>
              </w:rPr>
              <w:t>, в том числе в торговых и развлекательных центрах;</w:t>
            </w:r>
          </w:p>
        </w:tc>
      </w:tr>
      <w:tr>
        <w:tc>
          <w:tcPr>
            <w:tcW w:type="dxa" w:w="288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B0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1692323" cy="968991"/>
                  <wp:effectExtent b="0" l="0" r="0" t="0"/>
                  <wp:docPr hidden="false" id="8" name="Picture 8"/>
                  <a:graphic>
                    <a:graphicData uri="http://schemas.openxmlformats.org/drawingml/2006/picture">
                      <pic:pic>
                        <pic:nvPicPr>
                          <pic:cNvPr hidden="false" id="7" name="Picture 7"/>
                          <pic:cNvPicPr preferRelativeResize="true"/>
                        </pic:nvPicPr>
                        <pic:blipFill>
                          <a:blip r:embed="rId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692323" cy="96899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145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B100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транспортные подземные сооружения городской инфраструктуры (автомобильные и железнодорожные подземные тоннели, подземные переходы и т.п.);</w:t>
            </w:r>
          </w:p>
        </w:tc>
      </w:tr>
      <w:tr>
        <w:tc>
          <w:tcPr>
            <w:tcW w:type="dxa" w:w="288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B2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1692323" cy="1187356"/>
                  <wp:effectExtent b="0" l="0" r="0" t="0"/>
                  <wp:docPr hidden="false" id="10" name="Picture 10"/>
                  <a:graphic>
                    <a:graphicData uri="http://schemas.openxmlformats.org/drawingml/2006/picture">
                      <pic:pic>
                        <pic:nvPicPr>
                          <pic:cNvPr hidden="false" id="9" name="Picture 9"/>
                          <pic:cNvPicPr preferRelativeResize="true"/>
                        </pic:nvPicPr>
                        <pic:blipFill>
                          <a:blip r:embed="rId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692323" cy="118735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145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B300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простейшие укрытия (щели открытые и перекрытые, приспособленные погреба, подполья и т.п.).</w:t>
            </w:r>
          </w:p>
        </w:tc>
      </w:tr>
    </w:tbl>
    <w:p w14:paraId="B4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Рекомендуемые</w:t>
      </w:r>
      <w:r>
        <w:rPr>
          <w:rFonts w:ascii="Times New Roman" w:hAnsi="Times New Roman"/>
          <w:b w:val="1"/>
          <w:sz w:val="28"/>
        </w:rPr>
        <w:t xml:space="preserve"> т</w:t>
      </w:r>
      <w:r>
        <w:rPr>
          <w:rFonts w:ascii="Times New Roman" w:hAnsi="Times New Roman"/>
          <w:b w:val="1"/>
          <w:sz w:val="28"/>
        </w:rPr>
        <w:t>ребования к заглубленным и другим помещениям подземного пространства, используемым как укрытия.</w:t>
      </w:r>
    </w:p>
    <w:p w14:paraId="B5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Высот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 xml:space="preserve"> помещений </w:t>
      </w:r>
      <w:r>
        <w:rPr>
          <w:rFonts w:ascii="Times New Roman" w:hAnsi="Times New Roman"/>
          <w:sz w:val="28"/>
        </w:rPr>
        <w:t>рекомендовано считать</w:t>
      </w:r>
      <w:r>
        <w:rPr>
          <w:rFonts w:ascii="Times New Roman" w:hAnsi="Times New Roman"/>
          <w:sz w:val="28"/>
        </w:rPr>
        <w:t xml:space="preserve"> не ниже 1,</w:t>
      </w:r>
      <w:r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 xml:space="preserve"> м. Норму площади пола помещений на одного укрываемого следует принимать равной 0,6 – 1,0 м</w:t>
      </w:r>
      <w:r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>.</w:t>
      </w:r>
    </w:p>
    <w:p w14:paraId="B6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Внутренний объем помещения должен быть не менее 1,2 м</w:t>
      </w:r>
      <w:r>
        <w:rPr>
          <w:rFonts w:ascii="Times New Roman" w:hAnsi="Times New Roman"/>
          <w:sz w:val="28"/>
          <w:vertAlign w:val="superscript"/>
        </w:rPr>
        <w:t>3</w:t>
      </w:r>
      <w:r>
        <w:rPr>
          <w:rFonts w:ascii="Times New Roman" w:hAnsi="Times New Roman"/>
          <w:sz w:val="28"/>
        </w:rPr>
        <w:t xml:space="preserve"> на одного укрываемого.</w:t>
      </w:r>
    </w:p>
    <w:p w14:paraId="B7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Количество входов в заглубленные и другие помещения подземного пространства </w:t>
      </w:r>
      <w:r>
        <w:rPr>
          <w:rFonts w:ascii="Times New Roman" w:hAnsi="Times New Roman"/>
          <w:sz w:val="28"/>
        </w:rPr>
        <w:t>рекомендовано иметь</w:t>
      </w:r>
      <w:r>
        <w:rPr>
          <w:rFonts w:ascii="Times New Roman" w:hAnsi="Times New Roman"/>
          <w:sz w:val="28"/>
        </w:rPr>
        <w:t xml:space="preserve"> не менее двух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sz w:val="28"/>
        </w:rPr>
        <w:t>допускается один</w:t>
      </w:r>
      <w:r>
        <w:rPr>
          <w:rFonts w:ascii="Times New Roman" w:hAnsi="Times New Roman"/>
          <w:sz w:val="28"/>
        </w:rPr>
        <w:t xml:space="preserve"> вход при </w:t>
      </w:r>
      <w:r>
        <w:rPr>
          <w:rFonts w:ascii="Times New Roman" w:hAnsi="Times New Roman"/>
          <w:sz w:val="28"/>
        </w:rPr>
        <w:t>одно</w:t>
      </w:r>
      <w:r>
        <w:rPr>
          <w:rFonts w:ascii="Times New Roman" w:hAnsi="Times New Roman"/>
          <w:sz w:val="28"/>
        </w:rPr>
        <w:t>подъездном многоквартирном доме</w:t>
      </w:r>
      <w:r>
        <w:rPr>
          <w:rFonts w:ascii="Times New Roman" w:hAnsi="Times New Roman"/>
          <w:sz w:val="28"/>
        </w:rPr>
        <w:t>.</w:t>
      </w:r>
    </w:p>
    <w:p w14:paraId="B8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Вход в укрытие должен освещаться.</w:t>
      </w:r>
    </w:p>
    <w:p w14:paraId="B9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Транзит линий водопровода, канализации, отопления, электроснабжения, а также трубопроводов сжатого воздуха, газопроводов и трубопроводов с водой через помещения укрыти</w:t>
      </w:r>
      <w:r>
        <w:rPr>
          <w:rFonts w:ascii="Times New Roman" w:hAnsi="Times New Roman"/>
          <w:sz w:val="28"/>
        </w:rPr>
        <w:t>й допускается при услови</w:t>
      </w:r>
      <w:r>
        <w:rPr>
          <w:rFonts w:ascii="Times New Roman" w:hAnsi="Times New Roman"/>
          <w:sz w:val="28"/>
        </w:rPr>
        <w:t xml:space="preserve">и наличия отключающих устройств в подвале </w:t>
      </w:r>
      <w:r>
        <w:rPr>
          <w:rFonts w:ascii="Times New Roman" w:hAnsi="Times New Roman"/>
          <w:sz w:val="28"/>
        </w:rPr>
        <w:t>многоквартирного дома</w:t>
      </w:r>
      <w:r>
        <w:rPr>
          <w:rFonts w:ascii="Times New Roman" w:hAnsi="Times New Roman"/>
          <w:sz w:val="28"/>
        </w:rPr>
        <w:t>.</w:t>
      </w:r>
    </w:p>
    <w:p w14:paraId="BA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yellow"/>
        </w:rPr>
        <w:t xml:space="preserve">Для обеспечения </w:t>
      </w:r>
      <w:r>
        <w:rPr>
          <w:rFonts w:ascii="Times New Roman" w:hAnsi="Times New Roman"/>
          <w:sz w:val="28"/>
          <w:highlight w:val="yellow"/>
        </w:rPr>
        <w:t>необходимых условий пребывания,</w:t>
      </w:r>
      <w:r>
        <w:rPr>
          <w:rFonts w:ascii="Times New Roman" w:hAnsi="Times New Roman"/>
          <w:sz w:val="28"/>
          <w:highlight w:val="yellow"/>
        </w:rPr>
        <w:t xml:space="preserve"> укрываемых в помещениях</w:t>
      </w:r>
      <w:r>
        <w:rPr>
          <w:rFonts w:ascii="Times New Roman" w:hAnsi="Times New Roman"/>
          <w:sz w:val="28"/>
          <w:highlight w:val="yellow"/>
        </w:rPr>
        <w:t>,</w:t>
      </w:r>
      <w:r>
        <w:rPr>
          <w:rFonts w:ascii="Times New Roman" w:hAnsi="Times New Roman"/>
          <w:sz w:val="28"/>
          <w:highlight w:val="yellow"/>
        </w:rPr>
        <w:t xml:space="preserve"> </w:t>
      </w:r>
      <w:r>
        <w:rPr>
          <w:rFonts w:ascii="Times New Roman" w:hAnsi="Times New Roman"/>
          <w:sz w:val="28"/>
          <w:highlight w:val="yellow"/>
        </w:rPr>
        <w:t>максимально</w:t>
      </w:r>
      <w:r>
        <w:rPr>
          <w:rFonts w:ascii="Times New Roman" w:hAnsi="Times New Roman"/>
          <w:sz w:val="28"/>
          <w:highlight w:val="yellow"/>
        </w:rPr>
        <w:t xml:space="preserve"> используются существующие системы вентиляции, водоснабжения и канализации</w:t>
      </w:r>
      <w:r>
        <w:rPr>
          <w:rFonts w:ascii="Times New Roman" w:hAnsi="Times New Roman"/>
          <w:sz w:val="28"/>
          <w:highlight w:val="yellow"/>
        </w:rPr>
        <w:t xml:space="preserve"> (при наличии)</w:t>
      </w:r>
      <w:r>
        <w:rPr>
          <w:rFonts w:ascii="Times New Roman" w:hAnsi="Times New Roman"/>
          <w:sz w:val="28"/>
          <w:highlight w:val="yellow"/>
        </w:rPr>
        <w:t>.</w:t>
      </w:r>
      <w:r>
        <w:rPr>
          <w:rFonts w:ascii="Times New Roman" w:hAnsi="Times New Roman"/>
          <w:sz w:val="28"/>
        </w:rPr>
        <w:t xml:space="preserve"> </w:t>
      </w:r>
    </w:p>
    <w:p w14:paraId="BB000000">
      <w:pPr>
        <w:widowControl w:val="0"/>
        <w:spacing w:after="0"/>
        <w:ind w:firstLine="708" w:left="0"/>
        <w:jc w:val="both"/>
      </w:pPr>
      <w:r>
        <w:rPr>
          <w:rFonts w:ascii="Times New Roman" w:hAnsi="Times New Roman"/>
          <w:spacing w:val="-1"/>
          <w:sz w:val="28"/>
        </w:rPr>
        <w:t>Воздухоснабжение   укрытий   должн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 xml:space="preserve">   осуществлять</w:t>
      </w:r>
      <w:r>
        <w:rPr>
          <w:rFonts w:ascii="Times New Roman" w:hAnsi="Times New Roman"/>
          <w:spacing w:val="-1"/>
          <w:sz w:val="28"/>
        </w:rPr>
        <w:t>ся,</w:t>
      </w:r>
      <w:r>
        <w:rPr>
          <w:rFonts w:ascii="Times New Roman" w:hAnsi="Times New Roman"/>
          <w:spacing w:val="-1"/>
          <w:sz w:val="28"/>
        </w:rPr>
        <w:t xml:space="preserve">   как   правило</w:t>
      </w:r>
      <w:r>
        <w:rPr>
          <w:rFonts w:ascii="Times New Roman" w:hAnsi="Times New Roman"/>
          <w:spacing w:val="-1"/>
          <w:sz w:val="28"/>
        </w:rPr>
        <w:t>,</w:t>
      </w:r>
      <w:r>
        <w:rPr>
          <w:rFonts w:ascii="Times New Roman" w:hAnsi="Times New Roman"/>
          <w:spacing w:val="-1"/>
          <w:sz w:val="28"/>
        </w:rPr>
        <w:t xml:space="preserve">   в   режиме естественной вентиляции.</w:t>
      </w:r>
      <w:r>
        <w:t xml:space="preserve"> </w:t>
      </w:r>
    </w:p>
    <w:p w14:paraId="BC000000">
      <w:pPr>
        <w:widowControl w:val="0"/>
        <w:spacing w:after="0"/>
        <w:ind w:firstLine="708" w:left="0"/>
        <w:jc w:val="both"/>
        <w:rPr>
          <w:rFonts w:ascii="Times New Roman" w:hAnsi="Times New Roman"/>
          <w:spacing w:val="-1"/>
          <w:sz w:val="28"/>
        </w:rPr>
      </w:pPr>
      <w:r>
        <w:rPr>
          <w:rFonts w:ascii="Times New Roman" w:hAnsi="Times New Roman"/>
          <w:spacing w:val="-1"/>
          <w:sz w:val="28"/>
        </w:rPr>
        <w:t>Системы жизнеобеспечения укрытий должны быть рассчитаны на односуточное пребывание укрываемых.</w:t>
      </w:r>
    </w:p>
    <w:p w14:paraId="BD000000">
      <w:pPr>
        <w:widowControl w:val="0"/>
        <w:spacing w:after="0"/>
        <w:ind w:firstLine="708" w:left="0"/>
        <w:jc w:val="both"/>
        <w:rPr>
          <w:rFonts w:ascii="Times New Roman" w:hAnsi="Times New Roman"/>
          <w:spacing w:val="-1"/>
          <w:sz w:val="28"/>
        </w:rPr>
      </w:pPr>
    </w:p>
    <w:p w14:paraId="BE000000">
      <w:pPr>
        <w:pStyle w:val="Style_6"/>
        <w:numPr>
          <w:ilvl w:val="0"/>
          <w:numId w:val="2"/>
        </w:numPr>
        <w:spacing w:after="0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ПЕРЕЧЕНЬ МЕРОПРИЯТИЙ </w:t>
      </w:r>
      <w:r>
        <w:rPr>
          <w:rFonts w:ascii="Times New Roman" w:hAnsi="Times New Roman"/>
          <w:b w:val="1"/>
          <w:sz w:val="28"/>
        </w:rPr>
        <w:t xml:space="preserve"> И ТРЕБОВАНИЙ </w:t>
      </w:r>
      <w:r>
        <w:rPr>
          <w:rFonts w:ascii="Times New Roman" w:hAnsi="Times New Roman"/>
          <w:b w:val="1"/>
          <w:sz w:val="28"/>
        </w:rPr>
        <w:t>ПО ПРИВЕДЕНИЮ В ГОТОВНОСТЬ ЗАГЛУБЛЕННЫХ ПОМЕЩЕНИЙ</w:t>
      </w:r>
    </w:p>
    <w:p w14:paraId="BF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C0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Повышение защитных свойств перекрытий, несущих и ограждающих конструкций может достигаться за счет:</w:t>
      </w:r>
    </w:p>
    <w:p w14:paraId="C1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усиления конструкций без изменения их конструктивных схем;</w:t>
      </w:r>
    </w:p>
    <w:p w14:paraId="C2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усиления конструкций с изменением их конструктивных схем.</w:t>
      </w:r>
    </w:p>
    <w:p w14:paraId="C3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приспособлении заглубленных и других помещений подземного пространства под укрыти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населения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конструкции усиления и внутреннее оборудование не должно существенно затруднять использование этих помещений по прямому назначению или препятствовать реконструкции технологического процесса.</w:t>
      </w:r>
    </w:p>
    <w:p w14:paraId="C4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 ходе</w:t>
      </w:r>
      <w:r>
        <w:rPr>
          <w:rFonts w:ascii="Times New Roman" w:hAnsi="Times New Roman"/>
          <w:b w:val="1"/>
          <w:sz w:val="28"/>
        </w:rPr>
        <w:t xml:space="preserve"> приспособления заглубленных и других помещений подземного пространства для укрытия населения необходимо выполнить следующие работы:</w:t>
      </w:r>
    </w:p>
    <w:p w14:paraId="C5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заделать ненужные отверстия и отводы в наружных ограждающих конструкциях (в том числе и подручными материалами);</w:t>
      </w:r>
    </w:p>
    <w:p w14:paraId="C6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подготовить имеющееся вентиляционное, санитарно-техническое и бытовое оборудование, которое обеспечит нормальные условия пребывания людей;</w:t>
      </w:r>
    </w:p>
    <w:p w14:paraId="C7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усилить ограждающие конструкции и герметизацию дверей.</w:t>
      </w:r>
    </w:p>
    <w:p w14:paraId="C8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Требования по радиусу сбора укрываемых.</w:t>
      </w:r>
    </w:p>
    <w:p w14:paraId="C9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Радиус сбора укрываемых следует принимать не более 500 м.</w:t>
      </w:r>
    </w:p>
    <w:p w14:paraId="CA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Сроки приведения в готовность заглубленных и других помещений подземного пространства.</w:t>
      </w:r>
    </w:p>
    <w:p w14:paraId="CB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Заглубленные и другие помещения подземного пространства рекомендуется приводить в готовность к приему укрываемых в срок</w:t>
      </w:r>
      <w:r>
        <w:rPr>
          <w:rFonts w:ascii="Times New Roman" w:hAnsi="Times New Roman"/>
          <w:sz w:val="28"/>
        </w:rPr>
        <w:t>, не превышающий 12 часов.</w:t>
      </w:r>
    </w:p>
    <w:p w14:paraId="CC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Обслуживающие организации </w:t>
      </w:r>
      <w:r>
        <w:rPr>
          <w:rFonts w:ascii="Times New Roman" w:hAnsi="Times New Roman"/>
          <w:sz w:val="28"/>
        </w:rPr>
        <w:t>согласовывают с лицом, эксплуатирующим заглубленное и другое помещение подземного пространства, используемое как укрытие</w:t>
      </w:r>
      <w:r>
        <w:rPr>
          <w:rFonts w:ascii="Times New Roman" w:hAnsi="Times New Roman"/>
          <w:sz w:val="28"/>
        </w:rPr>
        <w:t xml:space="preserve"> (при наличии обязательств)</w:t>
      </w:r>
      <w:r>
        <w:rPr>
          <w:rFonts w:ascii="Times New Roman" w:hAnsi="Times New Roman"/>
          <w:sz w:val="28"/>
        </w:rPr>
        <w:t>, освобождение от им</w:t>
      </w:r>
      <w:r>
        <w:rPr>
          <w:rFonts w:ascii="Times New Roman" w:hAnsi="Times New Roman"/>
          <w:sz w:val="28"/>
        </w:rPr>
        <w:t>ущества не менее 50% площади и подготовку их к приему укрываемых.</w:t>
      </w:r>
    </w:p>
    <w:p w14:paraId="CD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Питание</w:t>
      </w:r>
      <w:r>
        <w:rPr>
          <w:rFonts w:ascii="Times New Roman" w:hAnsi="Times New Roman"/>
          <w:b w:val="1"/>
          <w:sz w:val="28"/>
        </w:rPr>
        <w:t xml:space="preserve"> и воду</w:t>
      </w:r>
      <w:r>
        <w:rPr>
          <w:rFonts w:ascii="Times New Roman" w:hAnsi="Times New Roman"/>
          <w:b w:val="1"/>
          <w:color w:val="FF0000"/>
          <w:sz w:val="28"/>
        </w:rPr>
        <w:t xml:space="preserve"> </w:t>
      </w:r>
      <w:r>
        <w:rPr>
          <w:rFonts w:ascii="Times New Roman" w:hAnsi="Times New Roman"/>
          <w:sz w:val="28"/>
        </w:rPr>
        <w:t>укрываемые приносят с собой.</w:t>
      </w:r>
    </w:p>
    <w:p w14:paraId="CE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з</w:t>
      </w:r>
      <w:r>
        <w:rPr>
          <w:rFonts w:ascii="Times New Roman" w:hAnsi="Times New Roman"/>
          <w:sz w:val="28"/>
        </w:rPr>
        <w:t>аглубленны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и други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помещения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подземного пространства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рекомендовано</w:t>
      </w:r>
      <w:r>
        <w:rPr>
          <w:rFonts w:ascii="Times New Roman" w:hAnsi="Times New Roman"/>
          <w:sz w:val="28"/>
        </w:rPr>
        <w:t xml:space="preserve"> предусмотр</w:t>
      </w:r>
      <w:r>
        <w:rPr>
          <w:rFonts w:ascii="Times New Roman" w:hAnsi="Times New Roman"/>
          <w:sz w:val="28"/>
        </w:rPr>
        <w:t>еть</w:t>
      </w:r>
      <w:r>
        <w:rPr>
          <w:rFonts w:ascii="Times New Roman" w:hAnsi="Times New Roman"/>
          <w:sz w:val="28"/>
        </w:rPr>
        <w:t xml:space="preserve"> запас технической воды из расчета 1 л/чел на 100 % укрываемых.</w:t>
      </w:r>
    </w:p>
    <w:p w14:paraId="CF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оснащения укрытия рекомендуется иметь санитарную сумку для оказания первой помощи пострадавшим.</w:t>
      </w:r>
    </w:p>
    <w:p w14:paraId="D0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Для выполнения простейших работ по выходу из заваленных укрытий</w:t>
      </w:r>
      <w:r>
        <w:rPr>
          <w:rFonts w:ascii="Times New Roman" w:hAnsi="Times New Roman"/>
          <w:sz w:val="28"/>
        </w:rPr>
        <w:t xml:space="preserve"> следует предусмотреть следующий инструмент (в количестве на менее 2 шт.): ломы, лопаты, багры, топоры, ведра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строительные носилки</w:t>
      </w:r>
      <w:r>
        <w:rPr>
          <w:rFonts w:ascii="Times New Roman" w:hAnsi="Times New Roman"/>
          <w:sz w:val="28"/>
        </w:rPr>
        <w:t>.</w:t>
      </w:r>
    </w:p>
    <w:p w14:paraId="D1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Требования к оборудованию и использованию укрытий</w:t>
      </w:r>
      <w:r>
        <w:rPr>
          <w:rFonts w:ascii="Times New Roman" w:hAnsi="Times New Roman"/>
          <w:b w:val="1"/>
          <w:sz w:val="28"/>
        </w:rPr>
        <w:t>.</w:t>
      </w:r>
    </w:p>
    <w:p w14:paraId="D2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ОМСУ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совместно с обслуживающими организациями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рекомендовано </w:t>
      </w:r>
      <w:r>
        <w:rPr>
          <w:rFonts w:ascii="Times New Roman" w:hAnsi="Times New Roman"/>
          <w:sz w:val="28"/>
        </w:rPr>
        <w:t>созда</w:t>
      </w:r>
      <w:r>
        <w:rPr>
          <w:rFonts w:ascii="Times New Roman" w:hAnsi="Times New Roman"/>
          <w:sz w:val="28"/>
        </w:rPr>
        <w:t xml:space="preserve">ть </w:t>
      </w:r>
      <w:r>
        <w:rPr>
          <w:rFonts w:ascii="Times New Roman" w:hAnsi="Times New Roman"/>
          <w:sz w:val="28"/>
        </w:rPr>
        <w:t>следующие условия для оборудования и использования заглубленных и других помещений подземного пространства как укрытий</w:t>
      </w:r>
      <w:r>
        <w:rPr>
          <w:rFonts w:ascii="Times New Roman" w:hAnsi="Times New Roman"/>
          <w:sz w:val="28"/>
        </w:rPr>
        <w:t>:</w:t>
      </w:r>
    </w:p>
    <w:p w14:paraId="D3000000">
      <w:pPr>
        <w:spacing w:after="0"/>
        <w:ind w:firstLine="709"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Установка бака для сбора мусора</w:t>
      </w:r>
      <w:r>
        <w:rPr>
          <w:rFonts w:ascii="Times New Roman" w:hAnsi="Times New Roman"/>
          <w:b w:val="1"/>
          <w:sz w:val="28"/>
        </w:rPr>
        <w:t>:</w:t>
      </w:r>
    </w:p>
    <w:p w14:paraId="D4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укрытии предусмотреть бак для сбора мусора. Объем бака определяется из расчета не менее 2 литров мусора на 1 человека. Крышка бака должна быть герметичной, </w:t>
      </w:r>
      <w:r>
        <w:rPr>
          <w:rFonts w:ascii="Times New Roman" w:hAnsi="Times New Roman"/>
          <w:sz w:val="28"/>
        </w:rPr>
        <w:t>размещается он</w:t>
      </w:r>
      <w:r>
        <w:rPr>
          <w:rFonts w:ascii="Times New Roman" w:hAnsi="Times New Roman"/>
          <w:sz w:val="28"/>
        </w:rPr>
        <w:t xml:space="preserve"> как можно ближе к вентиляционному отверстию.</w:t>
      </w:r>
    </w:p>
    <w:p w14:paraId="D5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Оборудование </w:t>
      </w:r>
      <w:r>
        <w:rPr>
          <w:rFonts w:ascii="Times New Roman" w:hAnsi="Times New Roman"/>
          <w:b w:val="1"/>
          <w:sz w:val="28"/>
        </w:rPr>
        <w:t>посадочных мест</w:t>
      </w:r>
      <w:r>
        <w:rPr>
          <w:rFonts w:ascii="Times New Roman" w:hAnsi="Times New Roman"/>
          <w:b w:val="1"/>
          <w:sz w:val="28"/>
        </w:rPr>
        <w:t>:</w:t>
      </w:r>
    </w:p>
    <w:p w14:paraId="D6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Посадочные места </w:t>
      </w:r>
      <w:r>
        <w:rPr>
          <w:rFonts w:ascii="Times New Roman" w:hAnsi="Times New Roman"/>
          <w:sz w:val="28"/>
        </w:rPr>
        <w:t>рекоме</w:t>
      </w:r>
      <w:r>
        <w:rPr>
          <w:rFonts w:ascii="Times New Roman" w:hAnsi="Times New Roman"/>
          <w:sz w:val="28"/>
        </w:rPr>
        <w:t>ндовано оборудовать для женщин,</w:t>
      </w:r>
      <w:r>
        <w:rPr>
          <w:rFonts w:ascii="Times New Roman" w:hAnsi="Times New Roman"/>
          <w:sz w:val="28"/>
        </w:rPr>
        <w:t xml:space="preserve"> детей</w:t>
      </w:r>
      <w:r>
        <w:rPr>
          <w:rFonts w:ascii="Times New Roman" w:hAnsi="Times New Roman"/>
          <w:sz w:val="28"/>
        </w:rPr>
        <w:t xml:space="preserve"> и пожилых людей</w:t>
      </w:r>
      <w:r>
        <w:rPr>
          <w:rFonts w:ascii="Times New Roman" w:hAnsi="Times New Roman"/>
          <w:sz w:val="28"/>
        </w:rPr>
        <w:t xml:space="preserve">. Для этого </w:t>
      </w:r>
      <w:r>
        <w:rPr>
          <w:rFonts w:ascii="Times New Roman" w:hAnsi="Times New Roman"/>
          <w:sz w:val="28"/>
        </w:rPr>
        <w:t>необходимо</w:t>
      </w:r>
      <w:r>
        <w:rPr>
          <w:rFonts w:ascii="Times New Roman" w:hAnsi="Times New Roman"/>
          <w:sz w:val="28"/>
        </w:rPr>
        <w:t xml:space="preserve"> ОМСУ во взаимодействии с обслуживающими организациями заблаговременно подготовить посадочные места. К посадочным местам можно отнести: лавки, нары, стулья и т.д.</w:t>
      </w:r>
    </w:p>
    <w:tbl>
      <w:tblPr>
        <w:tblStyle w:val="Style_1"/>
        <w:tblLayout w:type="fixed"/>
      </w:tblPr>
      <w:tblGrid>
        <w:gridCol w:w="2518"/>
        <w:gridCol w:w="7513"/>
      </w:tblGrid>
      <w:tr>
        <w:trPr>
          <w:trHeight w:hRule="atLeast" w:val="2400"/>
        </w:trPr>
        <w:tc>
          <w:tcPr>
            <w:tcW w:type="dxa" w:w="2518"/>
          </w:tcPr>
          <w:p w14:paraId="D7000000">
            <w:pPr>
              <w:spacing w:after="0"/>
              <w:ind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drawing>
                <wp:inline>
                  <wp:extent cx="1288415" cy="1582420"/>
                  <wp:effectExtent b="0" l="0" r="0" t="0"/>
                  <wp:docPr hidden="false" id="12" name="Picture 12"/>
                  <a:graphic>
                    <a:graphicData uri="http://schemas.openxmlformats.org/drawingml/2006/picture">
                      <pic:pic>
                        <pic:nvPicPr>
                          <pic:cNvPr hidden="false" id="11" name="Picture 11"/>
                          <pic:cNvPicPr preferRelativeResize="true"/>
                        </pic:nvPicPr>
                        <pic:blipFill>
                          <a:blip r:embed="rId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288415" cy="15824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513"/>
          </w:tcPr>
          <w:p w14:paraId="D8000000">
            <w:pPr>
              <w:spacing w:after="0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 возможности п</w:t>
            </w:r>
            <w:r>
              <w:rPr>
                <w:rFonts w:ascii="Times New Roman" w:hAnsi="Times New Roman"/>
                <w:sz w:val="28"/>
              </w:rPr>
              <w:t>редусмотреть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обеспечение </w:t>
            </w:r>
            <w:r>
              <w:rPr>
                <w:rFonts w:ascii="Times New Roman" w:hAnsi="Times New Roman"/>
                <w:sz w:val="28"/>
              </w:rPr>
              <w:t>помещени</w:t>
            </w:r>
            <w:r>
              <w:rPr>
                <w:rFonts w:ascii="Times New Roman" w:hAnsi="Times New Roman"/>
                <w:sz w:val="28"/>
              </w:rPr>
              <w:t xml:space="preserve">й </w:t>
            </w:r>
            <w:r>
              <w:rPr>
                <w:rFonts w:ascii="Times New Roman" w:hAnsi="Times New Roman"/>
                <w:sz w:val="28"/>
              </w:rPr>
              <w:t>биотуалетами или выносн</w:t>
            </w:r>
            <w:r>
              <w:rPr>
                <w:rFonts w:ascii="Times New Roman" w:hAnsi="Times New Roman"/>
                <w:sz w:val="28"/>
              </w:rPr>
              <w:t>ыми</w:t>
            </w:r>
            <w:r>
              <w:rPr>
                <w:rFonts w:ascii="Times New Roman" w:hAnsi="Times New Roman"/>
                <w:sz w:val="28"/>
              </w:rPr>
              <w:t xml:space="preserve"> тар</w:t>
            </w:r>
            <w:r>
              <w:rPr>
                <w:rFonts w:ascii="Times New Roman" w:hAnsi="Times New Roman"/>
                <w:sz w:val="28"/>
              </w:rPr>
              <w:t>ами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</w:tr>
    </w:tbl>
    <w:p w14:paraId="D9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Установка и оборудование </w:t>
      </w:r>
      <w:r>
        <w:rPr>
          <w:rFonts w:ascii="Times New Roman" w:hAnsi="Times New Roman"/>
          <w:b w:val="1"/>
          <w:sz w:val="28"/>
        </w:rPr>
        <w:t>санузлами</w:t>
      </w:r>
      <w:r>
        <w:rPr>
          <w:rFonts w:ascii="Times New Roman" w:hAnsi="Times New Roman"/>
          <w:b w:val="1"/>
          <w:sz w:val="28"/>
        </w:rPr>
        <w:t>:</w:t>
      </w:r>
    </w:p>
    <w:p w14:paraId="DA000000">
      <w:pPr>
        <w:spacing w:after="0"/>
        <w:ind/>
        <w:rPr>
          <w:rFonts w:ascii="Times New Roman" w:hAnsi="Times New Roman"/>
          <w:i w:val="1"/>
          <w:sz w:val="28"/>
        </w:rPr>
      </w:pPr>
    </w:p>
    <w:p w14:paraId="DB000000">
      <w:pPr>
        <w:tabs>
          <w:tab w:leader="none" w:pos="914" w:val="left"/>
        </w:tabs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ab/>
      </w:r>
      <w:r>
        <w:rPr>
          <w:rFonts w:ascii="Times New Roman" w:hAnsi="Times New Roman"/>
          <w:sz w:val="28"/>
        </w:rPr>
        <w:t xml:space="preserve">На видном месте в укрытии должны быть размещены «Правила пребывания (поведения) укрываемых в заглубленных и других помещений подземного пространства», а также запрещающие знаки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соответствии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 приложением</w:t>
      </w:r>
      <w:r>
        <w:rPr>
          <w:rFonts w:ascii="Times New Roman" w:hAnsi="Times New Roman"/>
          <w:sz w:val="28"/>
        </w:rPr>
        <w:t>.</w:t>
      </w:r>
    </w:p>
    <w:p w14:paraId="DC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DD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Порядок обозначения укрытий и маршрутов движения укрываемых к ним</w:t>
      </w:r>
      <w:r>
        <w:rPr>
          <w:rFonts w:ascii="Times New Roman" w:hAnsi="Times New Roman"/>
          <w:b w:val="1"/>
          <w:sz w:val="28"/>
        </w:rPr>
        <w:t>.</w:t>
      </w:r>
    </w:p>
    <w:p w14:paraId="DE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период </w:t>
      </w:r>
      <w:r>
        <w:rPr>
          <w:rFonts w:ascii="Times New Roman" w:hAnsi="Times New Roman"/>
          <w:sz w:val="28"/>
        </w:rPr>
        <w:t>прив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>ения</w:t>
      </w:r>
      <w:r>
        <w:rPr>
          <w:rFonts w:ascii="Times New Roman" w:hAnsi="Times New Roman"/>
          <w:sz w:val="28"/>
        </w:rPr>
        <w:t xml:space="preserve"> в готовность </w:t>
      </w:r>
      <w:r>
        <w:rPr>
          <w:rFonts w:ascii="Times New Roman" w:hAnsi="Times New Roman"/>
          <w:sz w:val="28"/>
        </w:rPr>
        <w:t>заглубленных и других помещений подземного пространства</w:t>
      </w:r>
      <w:r>
        <w:rPr>
          <w:rFonts w:ascii="Times New Roman" w:hAnsi="Times New Roman"/>
          <w:sz w:val="28"/>
        </w:rPr>
        <w:t xml:space="preserve"> к приему укрываемых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ОМСУ совместно с обслуживающи</w:t>
      </w:r>
      <w:r>
        <w:rPr>
          <w:rFonts w:ascii="Times New Roman" w:hAnsi="Times New Roman"/>
          <w:sz w:val="28"/>
        </w:rPr>
        <w:t>ми</w:t>
      </w:r>
      <w:r>
        <w:rPr>
          <w:rFonts w:ascii="Times New Roman" w:hAnsi="Times New Roman"/>
          <w:sz w:val="28"/>
        </w:rPr>
        <w:t xml:space="preserve"> организациями</w:t>
      </w:r>
      <w:r>
        <w:rPr>
          <w:rFonts w:ascii="Times New Roman" w:hAnsi="Times New Roman"/>
          <w:sz w:val="28"/>
        </w:rPr>
        <w:t xml:space="preserve"> проводят </w:t>
      </w:r>
      <w:r>
        <w:rPr>
          <w:rFonts w:ascii="Times New Roman" w:hAnsi="Times New Roman"/>
          <w:sz w:val="28"/>
        </w:rPr>
        <w:t>мероприятия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>обозначени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 xml:space="preserve"> укрытий и </w:t>
      </w:r>
      <w:r>
        <w:rPr>
          <w:rFonts w:ascii="Times New Roman" w:hAnsi="Times New Roman"/>
          <w:sz w:val="28"/>
        </w:rPr>
        <w:t>маршрутов движения,</w:t>
      </w:r>
      <w:r>
        <w:rPr>
          <w:rFonts w:ascii="Times New Roman" w:hAnsi="Times New Roman"/>
          <w:sz w:val="28"/>
        </w:rPr>
        <w:t xml:space="preserve"> укрываемых к ним.</w:t>
      </w:r>
    </w:p>
    <w:p w14:paraId="DF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Обозначение укрытия.</w:t>
      </w:r>
    </w:p>
    <w:p w14:paraId="E0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Обозначение укрытия осуществляется путем нанесения установленного знака на видном месте у входа в укрытие. Знак обозначения представляет собой прямоугольник размером не менее 50 x 60 см, внутри которого указывается:</w:t>
      </w:r>
    </w:p>
    <w:p w14:paraId="E1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принадлежность укрытия (наименование </w:t>
      </w:r>
      <w:r>
        <w:rPr>
          <w:rFonts w:ascii="Times New Roman" w:hAnsi="Times New Roman"/>
          <w:sz w:val="28"/>
        </w:rPr>
        <w:t>обслуживающий организации</w:t>
      </w:r>
      <w:r>
        <w:rPr>
          <w:rFonts w:ascii="Times New Roman" w:hAnsi="Times New Roman"/>
          <w:sz w:val="28"/>
        </w:rPr>
        <w:t>, адрес</w:t>
      </w:r>
      <w:r>
        <w:rPr>
          <w:rFonts w:ascii="Times New Roman" w:hAnsi="Times New Roman"/>
          <w:sz w:val="28"/>
        </w:rPr>
        <w:t xml:space="preserve"> дома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где находится укрытие</w:t>
      </w:r>
      <w:r>
        <w:rPr>
          <w:rFonts w:ascii="Times New Roman" w:hAnsi="Times New Roman"/>
          <w:sz w:val="28"/>
        </w:rPr>
        <w:t>);</w:t>
      </w:r>
    </w:p>
    <w:p w14:paraId="E2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места хранения ключей (телефоны, адреса, должность и фамилия ответственных лиц).</w:t>
      </w:r>
    </w:p>
    <w:p w14:paraId="E3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</w:p>
    <w:p w14:paraId="E4000000">
      <w:pPr>
        <w:spacing w:after="0"/>
        <w:ind/>
        <w:jc w:val="both"/>
        <w:rPr>
          <w:rFonts w:ascii="Times New Roman" w:hAnsi="Times New Roman"/>
          <w:sz w:val="28"/>
        </w:rPr>
      </w:pPr>
      <w:r>
        <w:drawing>
          <wp:inline>
            <wp:extent cx="2590800" cy="2088341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8"/>
                    <a:srcRect b="27998" l="36625" r="42750" t="42446"/>
                    <a:stretch/>
                  </pic:blipFill>
                  <pic:spPr>
                    <a:xfrm flipH="false" flipV="false" rot="0">
                      <a:ext cx="2590800" cy="208834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5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Обозначение маршрутов движения к укрытиям.</w:t>
      </w:r>
    </w:p>
    <w:p w14:paraId="E6000000">
      <w:pPr>
        <w:widowControl w:val="0"/>
        <w:spacing w:after="0" w:line="240" w:lineRule="auto"/>
        <w:ind w:firstLine="720" w:left="0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Маршруты движения к </w:t>
      </w:r>
      <w:r>
        <w:rPr>
          <w:rFonts w:ascii="Times New Roman CYR" w:hAnsi="Times New Roman CYR"/>
          <w:sz w:val="28"/>
        </w:rPr>
        <w:t>укрытиям</w:t>
      </w:r>
      <w:r>
        <w:rPr>
          <w:rFonts w:ascii="Times New Roman CYR" w:hAnsi="Times New Roman CYR"/>
          <w:sz w:val="28"/>
        </w:rPr>
        <w:t xml:space="preserve"> выбираются из условия минимально возможного времени подхода к ним от места работы или места жительства укрываемых.</w:t>
      </w:r>
    </w:p>
    <w:p w14:paraId="E7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Маршруты движения к укрытию обозначаются указателями в местах, где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обеспечивается хорошая вид</w:t>
      </w:r>
      <w:r>
        <w:rPr>
          <w:rFonts w:ascii="Times New Roman" w:hAnsi="Times New Roman"/>
          <w:sz w:val="28"/>
        </w:rPr>
        <w:t>имость в дневное и ночное время.</w:t>
      </w:r>
    </w:p>
    <w:p w14:paraId="E8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Размеры указателя по длине - 50 см и ширине - 15 см. На поле белого цвета наносится надпись черного цвета: «УКРЫТИЕ» и расстояние в метрах до входа.</w:t>
      </w:r>
    </w:p>
    <w:p w14:paraId="E9000000">
      <w:pPr>
        <w:spacing w:after="0"/>
        <w:ind/>
        <w:jc w:val="both"/>
        <w:rPr>
          <w:rFonts w:ascii="Times New Roman" w:hAnsi="Times New Roman"/>
          <w:sz w:val="28"/>
        </w:rPr>
      </w:pPr>
      <w:r>
        <w:drawing>
          <wp:inline>
            <wp:extent cx="3208420" cy="1485900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9"/>
                    <a:srcRect b="30081" l="35295" r="44891" t="49323"/>
                    <a:stretch/>
                  </pic:blipFill>
                  <pic:spPr>
                    <a:xfrm flipH="false" flipV="false" rot="0">
                      <a:ext cx="3208420" cy="14859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A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 xml:space="preserve">ля нанесения стандартных знаков и указателей </w:t>
      </w:r>
      <w:r>
        <w:rPr>
          <w:rFonts w:ascii="Times New Roman" w:hAnsi="Times New Roman"/>
          <w:sz w:val="28"/>
        </w:rPr>
        <w:t xml:space="preserve">заблаговременно в обслуживающих организациях </w:t>
      </w:r>
      <w:r>
        <w:rPr>
          <w:rFonts w:ascii="Times New Roman" w:hAnsi="Times New Roman"/>
          <w:sz w:val="28"/>
        </w:rPr>
        <w:t>должны быть подготовлены:</w:t>
      </w:r>
    </w:p>
    <w:p w14:paraId="EB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расчеты количества знаков и указателей с определением мест их установки;</w:t>
      </w:r>
    </w:p>
    <w:p w14:paraId="EC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трафареты знаков и указателей;</w:t>
      </w:r>
    </w:p>
    <w:p w14:paraId="ED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расчеты потребности в материалах для нанесения знаков и указателей (краска, к</w:t>
      </w:r>
      <w:r>
        <w:rPr>
          <w:rFonts w:ascii="Times New Roman" w:hAnsi="Times New Roman"/>
          <w:sz w:val="28"/>
        </w:rPr>
        <w:t>ровельное железо, фанера и др.).</w:t>
      </w:r>
    </w:p>
    <w:p w14:paraId="EE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Доступ к укрытию.</w:t>
      </w:r>
    </w:p>
    <w:p w14:paraId="EF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Укрыти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для населения </w:t>
      </w:r>
      <w:r>
        <w:rPr>
          <w:rFonts w:ascii="Times New Roman" w:hAnsi="Times New Roman"/>
          <w:sz w:val="28"/>
        </w:rPr>
        <w:t>должн</w:t>
      </w:r>
      <w:r>
        <w:rPr>
          <w:rFonts w:ascii="Times New Roman" w:hAnsi="Times New Roman"/>
          <w:sz w:val="28"/>
        </w:rPr>
        <w:t>о быть доступным и</w:t>
      </w:r>
      <w:r>
        <w:rPr>
          <w:rFonts w:ascii="Times New Roman" w:hAnsi="Times New Roman"/>
          <w:sz w:val="28"/>
        </w:rPr>
        <w:t xml:space="preserve"> открываться беспрепятственно.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На каждое укрытие </w:t>
      </w:r>
      <w:r>
        <w:rPr>
          <w:rFonts w:ascii="Times New Roman" w:hAnsi="Times New Roman"/>
          <w:sz w:val="28"/>
        </w:rPr>
        <w:t>рекомендовано иметь</w:t>
      </w:r>
      <w:r>
        <w:rPr>
          <w:rFonts w:ascii="Times New Roman" w:hAnsi="Times New Roman"/>
          <w:sz w:val="28"/>
        </w:rPr>
        <w:t xml:space="preserve"> н</w:t>
      </w:r>
      <w:r>
        <w:rPr>
          <w:rFonts w:ascii="Times New Roman" w:hAnsi="Times New Roman"/>
          <w:sz w:val="28"/>
        </w:rPr>
        <w:t>е менее двух комплектов ключей.</w:t>
      </w:r>
    </w:p>
    <w:p w14:paraId="F0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Ключи </w:t>
      </w:r>
      <w:r>
        <w:rPr>
          <w:rFonts w:ascii="Times New Roman" w:hAnsi="Times New Roman"/>
          <w:sz w:val="28"/>
        </w:rPr>
        <w:t xml:space="preserve">рекомендовано хранить </w:t>
      </w:r>
      <w:r>
        <w:rPr>
          <w:rFonts w:ascii="Times New Roman" w:hAnsi="Times New Roman"/>
          <w:sz w:val="28"/>
        </w:rPr>
        <w:t xml:space="preserve">в доступных местах, у </w:t>
      </w:r>
      <w:r>
        <w:rPr>
          <w:rFonts w:ascii="Times New Roman" w:hAnsi="Times New Roman"/>
          <w:sz w:val="28"/>
        </w:rPr>
        <w:t xml:space="preserve">лиц, </w:t>
      </w:r>
      <w:r>
        <w:rPr>
          <w:rFonts w:ascii="Times New Roman" w:hAnsi="Times New Roman"/>
          <w:sz w:val="28"/>
        </w:rPr>
        <w:t>проживающ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многоквартирных дом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>, которые</w:t>
      </w:r>
      <w:r>
        <w:rPr>
          <w:rFonts w:ascii="Times New Roman" w:hAnsi="Times New Roman"/>
          <w:sz w:val="28"/>
        </w:rPr>
        <w:t xml:space="preserve"> по решению обслуживающих организаций определяются</w:t>
      </w:r>
      <w:r>
        <w:rPr>
          <w:rFonts w:ascii="Times New Roman" w:hAnsi="Times New Roman"/>
          <w:sz w:val="28"/>
        </w:rPr>
        <w:t xml:space="preserve"> или</w:t>
      </w:r>
      <w:r>
        <w:rPr>
          <w:rFonts w:ascii="Times New Roman" w:hAnsi="Times New Roman"/>
          <w:sz w:val="28"/>
        </w:rPr>
        <w:t xml:space="preserve"> назначаются</w:t>
      </w:r>
      <w:r>
        <w:rPr>
          <w:rFonts w:ascii="Times New Roman" w:hAnsi="Times New Roman"/>
          <w:sz w:val="28"/>
        </w:rPr>
        <w:t xml:space="preserve"> из числа проживающих.</w:t>
      </w:r>
    </w:p>
    <w:p w14:paraId="F1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Например:</w:t>
      </w:r>
    </w:p>
    <w:p w14:paraId="F2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Хранение ключей может быть у консьержа подъезда, проживающего населения дома (рекомендовано хранить у жильцов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проживающих на первом этаже). </w:t>
      </w:r>
      <w:r>
        <w:rPr>
          <w:rFonts w:ascii="Times New Roman" w:hAnsi="Times New Roman"/>
          <w:sz w:val="28"/>
        </w:rPr>
        <w:t>Обслуживающие организации при проведении собраний, заседаний с жителями многоквартирных домов выбирают старших (из числа проживающих)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у которых хранится один комплект ключей (дубликат) от подвальных помещений многоквартирных домов. </w:t>
      </w:r>
      <w:r>
        <w:rPr>
          <w:rFonts w:ascii="Times New Roman" w:hAnsi="Times New Roman"/>
          <w:sz w:val="28"/>
        </w:rPr>
        <w:t>Другой</w:t>
      </w:r>
      <w:r>
        <w:rPr>
          <w:rFonts w:ascii="Times New Roman" w:hAnsi="Times New Roman"/>
          <w:sz w:val="28"/>
        </w:rPr>
        <w:t xml:space="preserve"> комплект находится в обслуживающей организации.</w:t>
      </w:r>
    </w:p>
    <w:p w14:paraId="F3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Место хранения ключей необходимо размещать на досках объявления в подъезде или на двери в укрытии.</w:t>
      </w:r>
    </w:p>
    <w:p w14:paraId="F4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Проживающее население многоквартирного дома должно знать </w:t>
      </w:r>
      <w:r>
        <w:rPr>
          <w:rFonts w:ascii="Times New Roman" w:hAnsi="Times New Roman"/>
          <w:sz w:val="28"/>
        </w:rPr>
        <w:t xml:space="preserve">место </w:t>
      </w:r>
      <w:r>
        <w:rPr>
          <w:rFonts w:ascii="Times New Roman" w:hAnsi="Times New Roman"/>
          <w:sz w:val="28"/>
        </w:rPr>
        <w:t>нахождения ключа от подвала.</w:t>
      </w:r>
    </w:p>
    <w:p w14:paraId="F5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</w:p>
    <w:p w14:paraId="F6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F7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6</w:t>
      </w:r>
      <w:r>
        <w:rPr>
          <w:rFonts w:ascii="Times New Roman" w:hAnsi="Times New Roman"/>
          <w:b w:val="1"/>
          <w:sz w:val="28"/>
        </w:rPr>
        <w:t xml:space="preserve">. ПРАКТИЧЕСКИЕ РЕКОМЕНДАЦИИ НАСЕЛЕНИЮ ПО ИСПОЛЬЗОВАНИЮ ЗАГЛУБЛЕННЫХ И ДРУГИХ ПОМЕЩЕНИЙ ПОДЗЕМНОГО ПРОСТРАНСТВА </w:t>
      </w:r>
    </w:p>
    <w:p w14:paraId="F8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color w:val="0000CD"/>
          <w:sz w:val="32"/>
        </w:rPr>
      </w:pPr>
    </w:p>
    <w:p w14:paraId="F9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 нахождении на улице:</w:t>
      </w:r>
    </w:p>
    <w:tbl>
      <w:tblPr>
        <w:tblStyle w:val="Style_7"/>
        <w:tblLayout w:type="fixed"/>
      </w:tblPr>
      <w:tblGrid>
        <w:gridCol w:w="5070"/>
        <w:gridCol w:w="5067"/>
      </w:tblGrid>
      <w:tr>
        <w:tc>
          <w:tcPr>
            <w:tcW w:type="dxa" w:w="5070"/>
          </w:tcPr>
          <w:p w14:paraId="FA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3037398" cy="1598212"/>
                  <wp:effectExtent b="0" l="0" r="0" t="0"/>
                  <wp:docPr hidden="false" id="18" name="Picture 18"/>
                  <a:graphic>
                    <a:graphicData uri="http://schemas.openxmlformats.org/drawingml/2006/picture">
                      <pic:pic>
                        <pic:nvPicPr>
                          <pic:cNvPr hidden="false" id="17" name="Picture 17"/>
                          <pic:cNvPicPr preferRelativeResize="true"/>
                        </pic:nvPicPr>
                        <pic:blipFill>
                          <a:blip r:embed="rId10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037398" cy="159821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067"/>
          </w:tcPr>
          <w:p w14:paraId="FB00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Внимательно прослушать экстренное сообщение через уличные громкоговорители или другие средства оповещения.</w:t>
            </w:r>
          </w:p>
          <w:p w14:paraId="FC00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Сообщение дублируется многократно не менее двух- трех раз, с периодическим включением сирен.</w:t>
            </w:r>
          </w:p>
        </w:tc>
      </w:tr>
      <w:tr>
        <w:tc>
          <w:tcPr>
            <w:tcW w:type="dxa" w:w="5070"/>
          </w:tcPr>
          <w:p w14:paraId="FD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3037398" cy="1645920"/>
                  <wp:effectExtent b="0" l="0" r="0" t="0"/>
                  <wp:docPr hidden="false" id="20" name="Picture 20"/>
                  <a:graphic>
                    <a:graphicData uri="http://schemas.openxmlformats.org/drawingml/2006/picture">
                      <pic:pic>
                        <pic:nvPicPr>
                          <pic:cNvPr hidden="false" id="19" name="Picture 19"/>
                          <pic:cNvPicPr preferRelativeResize="true"/>
                        </pic:nvPicPr>
                        <pic:blipFill>
                          <a:blip r:embed="rId11"/>
                          <a:srcRect b="16170" l="0" r="0" t="0"/>
                          <a:stretch/>
                        </pic:blipFill>
                        <pic:spPr>
                          <a:xfrm flipH="false" flipV="false" rot="0">
                            <a:ext cx="3037398" cy="16459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067"/>
          </w:tcPr>
          <w:p w14:paraId="FE000000">
            <w:pPr>
              <w:ind w:firstLine="317"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Действо</w:t>
            </w:r>
            <w:r>
              <w:rPr>
                <w:rFonts w:ascii="Times New Roman" w:hAnsi="Times New Roman"/>
                <w:sz w:val="28"/>
              </w:rPr>
              <w:t>вать по указанию представителей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органов государственной власти.</w:t>
            </w:r>
          </w:p>
          <w:p w14:paraId="FF00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  <w:p w14:paraId="0001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Соблюдать спокойствие и порядок.</w:t>
            </w:r>
          </w:p>
          <w:p w14:paraId="0101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  <w:p w14:paraId="0201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Проследовать в ближайшее укрытие.</w:t>
            </w:r>
          </w:p>
        </w:tc>
      </w:tr>
    </w:tbl>
    <w:p w14:paraId="0301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  <w:u w:val="single"/>
        </w:rPr>
      </w:pPr>
    </w:p>
    <w:p w14:paraId="0401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 нахождении в квартире дома:</w:t>
      </w:r>
    </w:p>
    <w:tbl>
      <w:tblPr>
        <w:tblStyle w:val="Style_7"/>
        <w:tblLayout w:type="fixed"/>
      </w:tblPr>
      <w:tblGrid>
        <w:gridCol w:w="5070"/>
        <w:gridCol w:w="5067"/>
      </w:tblGrid>
      <w:tr>
        <w:tc>
          <w:tcPr>
            <w:tcW w:type="dxa" w:w="5070"/>
          </w:tcPr>
          <w:p w14:paraId="0501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3037398" cy="1598212"/>
                  <wp:effectExtent b="0" l="0" r="0" t="0"/>
                  <wp:docPr hidden="false" id="22" name="Picture 22"/>
                  <a:graphic>
                    <a:graphicData uri="http://schemas.openxmlformats.org/drawingml/2006/picture">
                      <pic:pic>
                        <pic:nvPicPr>
                          <pic:cNvPr hidden="false" id="21" name="Picture 21"/>
                          <pic:cNvPicPr preferRelativeResize="true"/>
                        </pic:nvPicPr>
                        <pic:blipFill>
                          <a:blip r:embed="rId1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037398" cy="159821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067"/>
          </w:tcPr>
          <w:p w14:paraId="0601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Через уличные 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      </w:r>
            <w:r>
              <w:rPr>
                <w:rFonts w:ascii="Times New Roman" w:hAnsi="Times New Roman"/>
                <w:b w:val="1"/>
                <w:color w:val="000000"/>
                <w:sz w:val="28"/>
              </w:rPr>
              <w:t>«Внимание всем!»</w:t>
            </w:r>
          </w:p>
        </w:tc>
      </w:tr>
      <w:tr>
        <w:tc>
          <w:tcPr>
            <w:tcW w:type="dxa" w:w="5070"/>
          </w:tcPr>
          <w:p w14:paraId="0701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1550504" cy="1582309"/>
                  <wp:effectExtent b="0" l="0" r="0" t="0"/>
                  <wp:docPr hidden="false" id="24" name="Picture 24"/>
                  <a:graphic>
                    <a:graphicData uri="http://schemas.openxmlformats.org/drawingml/2006/picture">
                      <pic:pic>
                        <pic:nvPicPr>
                          <pic:cNvPr hidden="false" id="23" name="Picture 23"/>
                          <pic:cNvPicPr preferRelativeResize="true"/>
                        </pic:nvPicPr>
                        <pic:blipFill>
                          <a:blip r:embed="rId1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550504" cy="158230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</w:rPr>
              <w:drawing>
                <wp:inline>
                  <wp:extent cx="1486894" cy="1574358"/>
                  <wp:effectExtent b="0" l="0" r="0" t="0"/>
                  <wp:docPr hidden="false" id="26" name="Picture 26"/>
                  <a:graphic>
                    <a:graphicData uri="http://schemas.openxmlformats.org/drawingml/2006/picture">
                      <pic:pic>
                        <pic:nvPicPr>
                          <pic:cNvPr hidden="false" id="25" name="Picture 25"/>
                          <pic:cNvPicPr preferRelativeResize="true"/>
                        </pic:nvPicPr>
                        <pic:blipFill>
                          <a:blip r:embed="rId1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486894" cy="157435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067"/>
          </w:tcPr>
          <w:p w14:paraId="0801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После сигнала необходимо включить </w:t>
            </w:r>
            <w:r>
              <w:rPr>
                <w:rFonts w:ascii="Times New Roman" w:hAnsi="Times New Roman"/>
                <w:sz w:val="28"/>
              </w:rPr>
              <w:t>р</w:t>
            </w:r>
            <w:r>
              <w:rPr>
                <w:rFonts w:ascii="Times New Roman" w:hAnsi="Times New Roman"/>
                <w:sz w:val="28"/>
              </w:rPr>
              <w:t>адиоретрансляционную сеть</w:t>
            </w:r>
            <w:r>
              <w:rPr>
                <w:rFonts w:ascii="Times New Roman" w:hAnsi="Times New Roman"/>
                <w:sz w:val="28"/>
              </w:rPr>
              <w:t xml:space="preserve"> или</w:t>
            </w:r>
            <w:r>
              <w:rPr>
                <w:rFonts w:ascii="Times New Roman" w:hAnsi="Times New Roman"/>
                <w:sz w:val="28"/>
              </w:rPr>
              <w:t xml:space="preserve"> телевизор. По местному радиовещанию и телевидению будет передано </w:t>
            </w:r>
            <w:r>
              <w:rPr>
                <w:rFonts w:ascii="Times New Roman" w:hAnsi="Times New Roman"/>
                <w:b w:val="1"/>
                <w:sz w:val="28"/>
              </w:rPr>
              <w:t>сообщение</w:t>
            </w:r>
            <w:r>
              <w:rPr>
                <w:rFonts w:ascii="Times New Roman" w:hAnsi="Times New Roman"/>
                <w:sz w:val="28"/>
              </w:rPr>
              <w:t>. Полученную информацию передайте соседям, а затем действуйте согласно полученной информации.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</w:tr>
      <w:tr>
        <w:trPr>
          <w:trHeight w:hRule="atLeast" w:val="2402"/>
        </w:trPr>
        <w:tc>
          <w:tcPr>
            <w:tcW w:type="dxa" w:w="5070"/>
          </w:tcPr>
          <w:p w14:paraId="0901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3037398" cy="1494845"/>
                  <wp:effectExtent b="0" l="0" r="0" t="0"/>
                  <wp:docPr hidden="false" id="28" name="Picture 28"/>
                  <a:graphic>
                    <a:graphicData uri="http://schemas.openxmlformats.org/drawingml/2006/picture">
                      <pic:pic>
                        <pic:nvPicPr>
                          <pic:cNvPr hidden="false" id="27" name="Picture 27"/>
                          <pic:cNvPicPr preferRelativeResize="true"/>
                        </pic:nvPicPr>
                        <pic:blipFill>
                          <a:blip r:embed="rId1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037398" cy="14948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067"/>
          </w:tcPr>
          <w:p w14:paraId="0A01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Для того, чтобы исключить возможный взрыв газа в ваше отсутствие. Необходимо перекрыть газ. Для этого необх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одимо повернуть газовый вентиль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в положение «Закрыто». Газовый вентиль находится на кухне, рядом </w:t>
            </w:r>
            <w:r>
              <w:rPr>
                <w:rFonts w:ascii="Times New Roman" w:hAnsi="Times New Roman"/>
                <w:color w:val="000000"/>
                <w:sz w:val="28"/>
              </w:rPr>
              <w:t>с прибором учета газа.</w:t>
            </w:r>
          </w:p>
        </w:tc>
      </w:tr>
      <w:tr>
        <w:tc>
          <w:tcPr>
            <w:tcW w:type="dxa" w:w="5070"/>
          </w:tcPr>
          <w:p w14:paraId="0B01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3037398" cy="1478943"/>
                  <wp:effectExtent b="0" l="0" r="0" t="0"/>
                  <wp:docPr hidden="false" id="30" name="Picture 30"/>
                  <a:graphic>
                    <a:graphicData uri="http://schemas.openxmlformats.org/drawingml/2006/picture">
                      <pic:pic>
                        <pic:nvPicPr>
                          <pic:cNvPr hidden="false" id="29" name="Picture 29"/>
                          <pic:cNvPicPr preferRelativeResize="true"/>
                        </pic:nvPicPr>
                        <pic:blipFill>
                          <a:blip r:embed="rId1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037398" cy="147894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067"/>
          </w:tcPr>
          <w:p w14:paraId="0C01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Для того чтобы исключить возможность возникновения пожара.</w:t>
            </w:r>
          </w:p>
          <w:p w14:paraId="0D01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Необходимо отключить электричество.</w:t>
            </w:r>
          </w:p>
          <w:p w14:paraId="0E01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      </w:r>
          </w:p>
        </w:tc>
      </w:tr>
      <w:tr>
        <w:tc>
          <w:tcPr>
            <w:tcW w:type="dxa" w:w="5070"/>
          </w:tcPr>
          <w:p w14:paraId="0F01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3037398" cy="1463040"/>
                  <wp:effectExtent b="0" l="0" r="0" t="0"/>
                  <wp:docPr hidden="false" id="32" name="Picture 32"/>
                  <a:graphic>
                    <a:graphicData uri="http://schemas.openxmlformats.org/drawingml/2006/picture">
                      <pic:pic>
                        <pic:nvPicPr>
                          <pic:cNvPr hidden="false" id="31" name="Picture 31"/>
                          <pic:cNvPicPr preferRelativeResize="true"/>
                        </pic:nvPicPr>
                        <pic:blipFill>
                          <a:blip r:embed="rId1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037398" cy="146304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067"/>
          </w:tcPr>
          <w:p w14:paraId="1001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Для того чтобы исключить возможность затопления. Необходимо отключить горячую и холодную воду. Для этого необходимо повернуть краны в положение «Закрыто».</w:t>
            </w:r>
          </w:p>
          <w:p w14:paraId="1101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Краны горячей и холодной воды обычно наход</w:t>
            </w:r>
            <w:r>
              <w:rPr>
                <w:rFonts w:ascii="Times New Roman" w:hAnsi="Times New Roman"/>
                <w:color w:val="000000"/>
                <w:sz w:val="28"/>
              </w:rPr>
              <w:t>я</w:t>
            </w:r>
            <w:r>
              <w:rPr>
                <w:rFonts w:ascii="Times New Roman" w:hAnsi="Times New Roman"/>
                <w:color w:val="000000"/>
                <w:sz w:val="28"/>
              </w:rPr>
              <w:t>тся в туалете, но могут быть в ванной комнате, или в прихожей.</w:t>
            </w:r>
          </w:p>
        </w:tc>
      </w:tr>
      <w:tr>
        <w:tc>
          <w:tcPr>
            <w:tcW w:type="dxa" w:w="5070"/>
          </w:tcPr>
          <w:p w14:paraId="1201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3037397" cy="1502796"/>
                  <wp:effectExtent b="0" l="0" r="0" t="0"/>
                  <wp:docPr hidden="false" id="34" name="Picture 34"/>
                  <a:graphic>
                    <a:graphicData uri="http://schemas.openxmlformats.org/drawingml/2006/picture">
                      <pic:pic>
                        <pic:nvPicPr>
                          <pic:cNvPr hidden="false" id="33" name="Picture 33"/>
                          <pic:cNvPicPr preferRelativeResize="true"/>
                        </pic:nvPicPr>
                        <pic:blipFill>
                          <a:blip r:embed="rId18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037397" cy="150279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067"/>
          </w:tcPr>
          <w:p w14:paraId="13010000">
            <w:pPr>
              <w:ind w:firstLine="175" w:lef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Для того чтобы исключить попадания влаги и пыли с улицы необходимо закрыть окна и форточки.</w:t>
            </w:r>
          </w:p>
          <w:p w14:paraId="14010000">
            <w:pPr>
              <w:rPr>
                <w:rFonts w:ascii="Times New Roman" w:hAnsi="Times New Roman"/>
                <w:color w:val="000000"/>
                <w:sz w:val="28"/>
              </w:rPr>
            </w:pPr>
          </w:p>
          <w:p w14:paraId="15010000">
            <w:pPr>
              <w:rPr>
                <w:rFonts w:ascii="Times New Roman" w:hAnsi="Times New Roman"/>
                <w:color w:val="000000"/>
                <w:sz w:val="28"/>
              </w:rPr>
            </w:pPr>
          </w:p>
          <w:p w14:paraId="16010000">
            <w:pPr>
              <w:rPr>
                <w:rFonts w:ascii="Times New Roman" w:hAnsi="Times New Roman"/>
                <w:color w:val="000000"/>
                <w:sz w:val="28"/>
              </w:rPr>
            </w:pPr>
          </w:p>
          <w:p w14:paraId="17010000">
            <w:pPr>
              <w:rPr>
                <w:rFonts w:ascii="Times New Roman" w:hAnsi="Times New Roman"/>
                <w:color w:val="000000"/>
                <w:sz w:val="28"/>
              </w:rPr>
            </w:pPr>
          </w:p>
          <w:p w14:paraId="18010000">
            <w:pPr>
              <w:rPr>
                <w:rFonts w:ascii="Times New Roman" w:hAnsi="Times New Roman"/>
                <w:color w:val="000000"/>
                <w:sz w:val="28"/>
              </w:rPr>
            </w:pPr>
          </w:p>
          <w:p w14:paraId="19010000">
            <w:pPr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>
        <w:tc>
          <w:tcPr>
            <w:tcW w:type="dxa" w:w="5070"/>
          </w:tcPr>
          <w:p w14:paraId="1A01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3037398" cy="1542553"/>
                  <wp:effectExtent b="0" l="0" r="0" t="0"/>
                  <wp:docPr hidden="false" id="36" name="Picture 36"/>
                  <a:graphic>
                    <a:graphicData uri="http://schemas.openxmlformats.org/drawingml/2006/picture">
                      <pic:pic>
                        <pic:nvPicPr>
                          <pic:cNvPr hidden="false" id="35" name="Picture 35"/>
                          <pic:cNvPicPr preferRelativeResize="true"/>
                        </pic:nvPicPr>
                        <pic:blipFill>
                          <a:blip r:embed="rId1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037398" cy="154255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067"/>
          </w:tcPr>
          <w:p w14:paraId="1B010000">
            <w:pPr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Для сохранения продуктов питания примите меры по их защите.</w:t>
            </w:r>
          </w:p>
          <w:p w14:paraId="1C010000">
            <w:pPr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Упакуйте продукты в полиэтиленовые пакеты и уберите в шкафы, столы, тумбы, расположенные на полу.</w:t>
            </w:r>
          </w:p>
          <w:p w14:paraId="1D010000">
            <w:pPr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  <w:p w14:paraId="1E010000">
            <w:pPr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  <w:p w14:paraId="1F010000">
            <w:pPr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>
        <w:tc>
          <w:tcPr>
            <w:tcW w:type="dxa" w:w="5070"/>
          </w:tcPr>
          <w:p w14:paraId="2001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3339047" cy="3013544"/>
                  <wp:effectExtent b="0" l="0" r="0" t="0"/>
                  <wp:docPr hidden="false" id="38" name="Picture 38"/>
                  <a:graphic>
                    <a:graphicData uri="http://schemas.openxmlformats.org/drawingml/2006/picture">
                      <pic:pic>
                        <pic:nvPicPr>
                          <pic:cNvPr hidden="false" id="37" name="Picture 37"/>
                          <pic:cNvPicPr preferRelativeResize="true"/>
                        </pic:nvPicPr>
                        <pic:blipFill>
                          <a:blip r:embed="rId20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339047" cy="301354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067"/>
          </w:tcPr>
          <w:p w14:paraId="21010000">
            <w:pPr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Одеть детей.</w:t>
            </w:r>
          </w:p>
          <w:p w14:paraId="22010000">
            <w:pPr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Закрыть квартиру.</w:t>
            </w:r>
          </w:p>
          <w:p w14:paraId="23010000">
            <w:pPr>
              <w:rPr>
                <w:rFonts w:ascii="Times New Roman" w:hAnsi="Times New Roman"/>
                <w:color w:val="000000"/>
                <w:sz w:val="28"/>
              </w:rPr>
            </w:pPr>
          </w:p>
          <w:p w14:paraId="24010000">
            <w:pPr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Оставьте на двери (прикрепите скотчем или другим способом) записку, в которой будет указано:</w:t>
            </w:r>
          </w:p>
          <w:p w14:paraId="2501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дата и время, когда Вы вышли из помещения;</w:t>
            </w:r>
          </w:p>
          <w:p w14:paraId="2601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список людей (фамилия, имя, отчество);</w:t>
            </w:r>
          </w:p>
          <w:p w14:paraId="2701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адрес укрытия, куда Вы направились (например, в подвал дома);</w:t>
            </w:r>
          </w:p>
          <w:p w14:paraId="2801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номера телефонов для связи с Вами.</w:t>
            </w:r>
          </w:p>
        </w:tc>
      </w:tr>
      <w:tr>
        <w:tc>
          <w:tcPr>
            <w:tcW w:type="dxa" w:w="5070"/>
          </w:tcPr>
          <w:p w14:paraId="2901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3212327" cy="1789042"/>
                  <wp:effectExtent b="0" l="0" r="0" t="0"/>
                  <wp:docPr hidden="false" id="40" name="Picture 40"/>
                  <a:graphic>
                    <a:graphicData uri="http://schemas.openxmlformats.org/drawingml/2006/picture">
                      <pic:pic>
                        <pic:nvPicPr>
                          <pic:cNvPr hidden="false" id="39" name="Picture 39"/>
                          <pic:cNvPicPr preferRelativeResize="true"/>
                        </pic:nvPicPr>
                        <pic:blipFill>
                          <a:blip r:embed="rId2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212327" cy="178904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067"/>
          </w:tcPr>
          <w:p w14:paraId="2A01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Взять тревожный набор и другие необходимые принадлежности.</w:t>
            </w:r>
          </w:p>
          <w:p w14:paraId="2B01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 составом тревожного набора и других необходимых принадлежностей можно ознакомиться в приложении.</w:t>
            </w:r>
          </w:p>
        </w:tc>
      </w:tr>
      <w:tr>
        <w:tc>
          <w:tcPr>
            <w:tcW w:type="dxa" w:w="5070"/>
          </w:tcPr>
          <w:p w14:paraId="2C01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3132814" cy="1645920"/>
                  <wp:effectExtent b="0" l="0" r="0" t="0"/>
                  <wp:docPr hidden="false" id="42" name="Picture 42"/>
                  <a:graphic>
                    <a:graphicData uri="http://schemas.openxmlformats.org/drawingml/2006/picture">
                      <pic:pic>
                        <pic:nvPicPr>
                          <pic:cNvPr hidden="false" id="41" name="Picture 41"/>
                          <pic:cNvPicPr preferRelativeResize="true"/>
                        </pic:nvPicPr>
                        <pic:blipFill>
                          <a:blip r:embed="rId22"/>
                          <a:srcRect b="16170" l="0" r="0" t="0"/>
                          <a:stretch/>
                        </pic:blipFill>
                        <pic:spPr>
                          <a:xfrm flipH="false" flipV="false" rot="0">
                            <a:ext cx="3132814" cy="16459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067"/>
          </w:tcPr>
          <w:p w14:paraId="2D010000">
            <w:pPr>
              <w:ind w:firstLine="317"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 пути к укрытию и при входе в него надо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соблюдать строгий порядок:</w:t>
            </w:r>
          </w:p>
          <w:p w14:paraId="2E010000">
            <w:pPr>
              <w:ind w:firstLine="317"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не толпиться;</w:t>
            </w:r>
          </w:p>
          <w:p w14:paraId="2F010000">
            <w:pPr>
              <w:ind w:firstLine="317" w:left="0"/>
              <w:jc w:val="both"/>
              <w:rPr>
                <w:rFonts w:ascii="Arial" w:hAnsi="Arial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не обгонять впереди идущих.</w:t>
            </w:r>
          </w:p>
        </w:tc>
      </w:tr>
    </w:tbl>
    <w:p w14:paraId="3001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color w:val="0000CD"/>
          <w:sz w:val="28"/>
        </w:rPr>
      </w:pPr>
    </w:p>
    <w:p w14:paraId="31010000">
      <w:pPr>
        <w:spacing w:after="0" w:line="240" w:lineRule="auto"/>
        <w:ind/>
        <w:rPr>
          <w:rFonts w:ascii="Times New Roman" w:hAnsi="Times New Roman"/>
          <w:i w:val="1"/>
          <w:sz w:val="28"/>
        </w:rPr>
      </w:pPr>
    </w:p>
    <w:p w14:paraId="3201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Порядок заполнения заглубленных и других помещений подземного пространства</w:t>
      </w:r>
    </w:p>
    <w:p w14:paraId="33010000">
      <w:pPr>
        <w:spacing w:after="0" w:line="240" w:lineRule="auto"/>
        <w:ind w:firstLine="709" w:left="0"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sz w:val="28"/>
        </w:rPr>
        <w:t>Войдя в помещение, следует без суеты занять свободное место.</w:t>
      </w:r>
    </w:p>
    <w:p w14:paraId="34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заполнении заглубленных и других помещений подземного пространства закрытие наружных дверей производится по команде старшего по укрытию.</w:t>
      </w:r>
    </w:p>
    <w:p w14:paraId="35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601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Правила пребывания (поведения) укрываемых в заглубленных и других помещен</w:t>
      </w:r>
      <w:r>
        <w:rPr>
          <w:rFonts w:ascii="Times New Roman" w:hAnsi="Times New Roman"/>
          <w:b w:val="1"/>
          <w:sz w:val="28"/>
        </w:rPr>
        <w:t>и</w:t>
      </w:r>
      <w:r>
        <w:rPr>
          <w:rFonts w:ascii="Times New Roman" w:hAnsi="Times New Roman"/>
          <w:b w:val="1"/>
          <w:sz w:val="28"/>
        </w:rPr>
        <w:t>ях</w:t>
      </w:r>
      <w:r>
        <w:rPr>
          <w:rFonts w:ascii="Times New Roman" w:hAnsi="Times New Roman"/>
          <w:b w:val="1"/>
          <w:sz w:val="28"/>
        </w:rPr>
        <w:t xml:space="preserve"> подземного пространства</w:t>
      </w:r>
    </w:p>
    <w:p w14:paraId="37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14:paraId="38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спокойно сидеть на своих местах,</w:t>
      </w:r>
    </w:p>
    <w:p w14:paraId="39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поддерживать чистоту и порядок в помещениях;</w:t>
      </w:r>
    </w:p>
    <w:p w14:paraId="3A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оказывать помощь больным, инвалидам, детям;</w:t>
      </w:r>
    </w:p>
    <w:p w14:paraId="3B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соблюдать спокойствие, </w:t>
      </w:r>
      <w:r>
        <w:rPr>
          <w:rFonts w:ascii="Times New Roman" w:hAnsi="Times New Roman"/>
          <w:sz w:val="28"/>
        </w:rPr>
        <w:t>не допускать</w:t>
      </w:r>
      <w:r>
        <w:rPr>
          <w:rFonts w:ascii="Times New Roman" w:hAnsi="Times New Roman"/>
          <w:sz w:val="28"/>
        </w:rPr>
        <w:t xml:space="preserve"> случа</w:t>
      </w:r>
      <w:r>
        <w:rPr>
          <w:rFonts w:ascii="Times New Roman" w:hAnsi="Times New Roman"/>
          <w:sz w:val="28"/>
        </w:rPr>
        <w:t>ев</w:t>
      </w:r>
      <w:r>
        <w:rPr>
          <w:rFonts w:ascii="Times New Roman" w:hAnsi="Times New Roman"/>
          <w:sz w:val="28"/>
        </w:rPr>
        <w:t xml:space="preserve"> паники и нарушений общественного порядка,</w:t>
      </w:r>
    </w:p>
    <w:p w14:paraId="3C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оставаться на местах в случае отключения освещения;</w:t>
      </w:r>
    </w:p>
    <w:p w14:paraId="3D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соблюдать установленный порядок приёма пищи (2-3 раза в сутки при выключенной вентиляции</w:t>
      </w:r>
      <w:r>
        <w:rPr>
          <w:rFonts w:ascii="Times New Roman" w:hAnsi="Times New Roman"/>
          <w:sz w:val="28"/>
        </w:rPr>
        <w:t xml:space="preserve"> (если имеется)</w:t>
      </w:r>
      <w:r>
        <w:rPr>
          <w:rFonts w:ascii="Times New Roman" w:hAnsi="Times New Roman"/>
          <w:sz w:val="28"/>
        </w:rPr>
        <w:t>);</w:t>
      </w:r>
    </w:p>
    <w:p w14:paraId="3E010000">
      <w:pPr>
        <w:spacing w:after="0"/>
        <w:ind w:firstLine="709" w:left="0"/>
        <w:jc w:val="both"/>
        <w:rPr>
          <w:rFonts w:ascii="Times New Roman" w:hAnsi="Times New Roman"/>
          <w:b w:val="1"/>
          <w:color w:val="C10000"/>
          <w:sz w:val="28"/>
        </w:rPr>
      </w:pPr>
      <w:r>
        <w:rPr>
          <w:rFonts w:ascii="Times New Roman" w:hAnsi="Times New Roman"/>
          <w:sz w:val="28"/>
        </w:rPr>
        <w:t>соблюдать правила техники безопасности.</w:t>
      </w:r>
    </w:p>
    <w:p w14:paraId="3F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помещениях для укрываемых ежедневно производится 2-х разовая уборка помещений силами укрываемых</w:t>
      </w:r>
      <w:r>
        <w:rPr>
          <w:rFonts w:ascii="Times New Roman" w:hAnsi="Times New Roman"/>
          <w:sz w:val="28"/>
        </w:rPr>
        <w:t>.</w:t>
      </w:r>
    </w:p>
    <w:p w14:paraId="40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 в помещениях необходимо периодически смачивать водой.</w:t>
      </w:r>
    </w:p>
    <w:p w14:paraId="41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частичных разрушениях заглубленного и</w:t>
      </w:r>
      <w:r>
        <w:rPr>
          <w:rFonts w:ascii="Times New Roman" w:hAnsi="Times New Roman"/>
          <w:sz w:val="28"/>
        </w:rPr>
        <w:t>ли</w:t>
      </w:r>
      <w:r>
        <w:rPr>
          <w:rFonts w:ascii="Times New Roman" w:hAnsi="Times New Roman"/>
          <w:sz w:val="28"/>
        </w:rPr>
        <w:t xml:space="preserve"> другого помещения подземного пространства (завал выходов, разрушение с</w:t>
      </w:r>
      <w:r>
        <w:rPr>
          <w:rFonts w:ascii="Times New Roman" w:hAnsi="Times New Roman"/>
          <w:sz w:val="28"/>
        </w:rPr>
        <w:t>тены и т.</w:t>
      </w:r>
      <w:r>
        <w:rPr>
          <w:rFonts w:ascii="Times New Roman" w:hAnsi="Times New Roman"/>
          <w:sz w:val="28"/>
        </w:rPr>
        <w:t>п.) необходимо сохранять спокойствие, ожидая указаний старшего по укрытию. В случае необходимости, укрывающиеся должны оказывать посильную помощь в выполнении работ по разборке заваленных выходов, вскрытию лазов и пр.</w:t>
      </w:r>
    </w:p>
    <w:p w14:paraId="42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Если в помещении будет внезапно выключено освещение, нужно спокойно оставаться на местах и ждать, когда будет включен свет или по </w:t>
      </w:r>
      <w:r>
        <w:rPr>
          <w:rFonts w:ascii="Times New Roman" w:hAnsi="Times New Roman"/>
          <w:sz w:val="28"/>
        </w:rPr>
        <w:t xml:space="preserve">указанию </w:t>
      </w:r>
      <w:r>
        <w:rPr>
          <w:rFonts w:ascii="Times New Roman" w:hAnsi="Times New Roman"/>
          <w:sz w:val="28"/>
        </w:rPr>
        <w:t>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14:paraId="43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помещениях рекомендуется: проводить беседы, чтение вслух, слушать радиопередачи, играть в тихие игры.</w:t>
      </w:r>
    </w:p>
    <w:p w14:paraId="4401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Порядок выхода из заглубленных и других помещений подземного пространства</w:t>
      </w:r>
    </w:p>
    <w:p w14:paraId="45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получения сигнала «Внимание всем!» с информацией об отбое воздушной тревоги нельзя выходить из заглубленных и других помещений подземного пространства без разрешения старшего по укрытию до того, как будет установлена безопасность выхода и возможность спокойного возвращения укрывающихся по домам.</w:t>
      </w:r>
    </w:p>
    <w:p w14:paraId="46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</w:p>
    <w:p w14:paraId="4701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Выход из указанного помещения не разрешается, если получена информация о наличии вблизи укрытия:</w:t>
      </w:r>
    </w:p>
    <w:p w14:paraId="48010000">
      <w:pPr>
        <w:spacing w:after="0"/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неразорвавшихся боеприпасов;</w:t>
      </w:r>
    </w:p>
    <w:p w14:paraId="49010000">
      <w:pPr>
        <w:spacing w:after="0"/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пожаров;</w:t>
      </w:r>
    </w:p>
    <w:p w14:paraId="4A010000">
      <w:pPr>
        <w:spacing w:after="0"/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разрушения здания, в котором расположено заглубленное и другое помещение подземного пространства.</w:t>
      </w:r>
    </w:p>
    <w:p w14:paraId="4B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Эвакуация укрываемых из заглубленного и другого помещения подземного</w:t>
      </w:r>
    </w:p>
    <w:p w14:paraId="4C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пространства производится в </w:t>
      </w:r>
      <w:r>
        <w:rPr>
          <w:rFonts w:ascii="Times New Roman" w:hAnsi="Times New Roman"/>
          <w:sz w:val="28"/>
        </w:rPr>
        <w:t>следующей</w:t>
      </w:r>
      <w:r>
        <w:rPr>
          <w:rFonts w:ascii="Times New Roman" w:hAnsi="Times New Roman"/>
          <w:sz w:val="28"/>
        </w:rPr>
        <w:t xml:space="preserve"> последовательности: сначала на поверхность выходят несколько человек, чтобы оказать помощь тем, которые не могут выйти самостоятельно, затем эвакуируются пострадавшие, престарелые и дети, а после них - все остальные.</w:t>
      </w:r>
    </w:p>
    <w:p w14:paraId="4D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Вывод из заглубленного и другого помещения подземного пространства производится по указанию старшего по укрытию после соответствующего сигнала или в случае аварийного состояния сооружения, угрожающего жизни людей.</w:t>
      </w:r>
    </w:p>
    <w:p w14:paraId="4E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4F01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Что укрываемый должен взять с собой при укрытии в заглубленных и других помещениях подземного пространства</w:t>
      </w:r>
    </w:p>
    <w:p w14:paraId="50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подготовке к укрытию в заглубленных и других помещениях подземного пространства </w:t>
      </w:r>
      <w:r>
        <w:rPr>
          <w:rFonts w:ascii="Times New Roman" w:hAnsi="Times New Roman"/>
          <w:sz w:val="28"/>
        </w:rPr>
        <w:t xml:space="preserve">рекомендовано </w:t>
      </w:r>
      <w:r>
        <w:rPr>
          <w:rFonts w:ascii="Times New Roman" w:hAnsi="Times New Roman"/>
          <w:sz w:val="28"/>
        </w:rPr>
        <w:t>укрываем</w:t>
      </w:r>
      <w:r>
        <w:rPr>
          <w:rFonts w:ascii="Times New Roman" w:hAnsi="Times New Roman"/>
          <w:sz w:val="28"/>
        </w:rPr>
        <w:t>ым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иметь с</w:t>
      </w:r>
      <w:r>
        <w:rPr>
          <w:rFonts w:ascii="Times New Roman" w:hAnsi="Times New Roman"/>
          <w:sz w:val="28"/>
        </w:rPr>
        <w:t xml:space="preserve"> собой «Тревожный набор», </w:t>
      </w:r>
      <w:r>
        <w:rPr>
          <w:rFonts w:ascii="Times New Roman" w:hAnsi="Times New Roman"/>
          <w:sz w:val="28"/>
        </w:rPr>
        <w:t>который должен обеспечить безопасное пребывание в заглубленном или другом помещении подземного пространства в течение одних или двух суток.</w:t>
      </w:r>
    </w:p>
    <w:p w14:paraId="51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«тревожном наборе» должны быть средства индивидуальной защиты, основные документы, продукты питания, вода, аптечка, сменная одежда, одеяло, телефон и некоторые другие необходимые принадлежности.</w:t>
      </w:r>
    </w:p>
    <w:p w14:paraId="52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1"/>
        <w:tblLayout w:type="fixed"/>
      </w:tblPr>
      <w:tblGrid>
        <w:gridCol w:w="2770"/>
        <w:gridCol w:w="6694"/>
      </w:tblGrid>
      <w:tr>
        <w:trPr>
          <w:trHeight w:hRule="atLeast" w:val="2229"/>
        </w:trPr>
        <w:tc>
          <w:tcPr>
            <w:tcW w:type="dxa" w:w="2770"/>
          </w:tcPr>
          <w:p w14:paraId="5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1621790" cy="1820545"/>
                  <wp:effectExtent b="0" l="0" r="0" t="0"/>
                  <wp:docPr hidden="false" id="44" name="Picture 44"/>
                  <a:graphic>
                    <a:graphicData uri="http://schemas.openxmlformats.org/drawingml/2006/picture">
                      <pic:pic>
                        <pic:nvPicPr>
                          <pic:cNvPr hidden="false" id="43" name="Picture 43"/>
                          <pic:cNvPicPr preferRelativeResize="true"/>
                        </pic:nvPicPr>
                        <pic:blipFill>
                          <a:blip r:embed="rId2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621790" cy="18205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694"/>
          </w:tcPr>
          <w:p w14:paraId="5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«Тревожный набор» должен храниться в рюкзаках или сумках, которые могут быть распределены для переноски между членами семьи. Раз в год «тревожный набор» проверяется и обновляется.</w:t>
            </w:r>
          </w:p>
        </w:tc>
      </w:tr>
    </w:tbl>
    <w:p w14:paraId="55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5601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57010000">
      <w:pPr>
        <w:spacing w:after="0" w:line="240" w:lineRule="auto"/>
        <w:ind w:firstLine="709"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Вес «тревожного набора» и других необходимых принадлежностей</w:t>
      </w:r>
    </w:p>
    <w:p w14:paraId="58010000">
      <w:pPr>
        <w:spacing w:after="0" w:line="240" w:lineRule="auto"/>
        <w:ind w:firstLine="709"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должен составлять не более:</w:t>
      </w:r>
    </w:p>
    <w:p w14:paraId="59010000">
      <w:pPr>
        <w:spacing w:after="0" w:line="240" w:lineRule="auto"/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мужчин – 30 кг;</w:t>
      </w:r>
    </w:p>
    <w:p w14:paraId="5A010000">
      <w:pPr>
        <w:spacing w:after="0" w:line="240" w:lineRule="auto"/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женщин – 10 кг;</w:t>
      </w:r>
    </w:p>
    <w:p w14:paraId="5B010000">
      <w:pPr>
        <w:spacing w:after="0" w:line="240" w:lineRule="auto"/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юношей и девушек в возрасте:</w:t>
      </w:r>
    </w:p>
    <w:p w14:paraId="5C010000">
      <w:pPr>
        <w:spacing w:after="0" w:line="240" w:lineRule="auto"/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 лет – 12 и 4 кг;</w:t>
      </w:r>
    </w:p>
    <w:p w14:paraId="5D010000">
      <w:pPr>
        <w:spacing w:after="0" w:line="240" w:lineRule="auto"/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 лет – 15 и 5 кг;</w:t>
      </w:r>
    </w:p>
    <w:p w14:paraId="5E010000">
      <w:pPr>
        <w:spacing w:after="0" w:line="240" w:lineRule="auto"/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 лет – 20 и 7 кг;</w:t>
      </w:r>
    </w:p>
    <w:p w14:paraId="5F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 лет – 24 и 8 кг соответственно.</w:t>
      </w:r>
    </w:p>
    <w:p w14:paraId="6001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61010000">
      <w:pPr>
        <w:spacing w:after="0" w:line="240" w:lineRule="auto"/>
        <w:ind w:firstLine="709"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Средства индивидуальной защиты.</w:t>
      </w:r>
    </w:p>
    <w:tbl>
      <w:tblPr>
        <w:tblStyle w:val="Style_1"/>
        <w:tblLayout w:type="fixed"/>
      </w:tblPr>
      <w:tblGrid>
        <w:gridCol w:w="3426"/>
        <w:gridCol w:w="6694"/>
      </w:tblGrid>
      <w:tr>
        <w:trPr>
          <w:trHeight w:hRule="atLeast" w:val="2229"/>
        </w:trPr>
        <w:tc>
          <w:tcPr>
            <w:tcW w:type="dxa" w:w="3426"/>
          </w:tcPr>
          <w:p w14:paraId="6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2552368" cy="1701579"/>
                  <wp:effectExtent b="0" l="0" r="0" t="0"/>
                  <wp:docPr hidden="false" id="46" name="Picture 46"/>
                  <a:graphic>
                    <a:graphicData uri="http://schemas.openxmlformats.org/drawingml/2006/picture">
                      <pic:pic>
                        <pic:nvPicPr>
                          <pic:cNvPr hidden="false" id="45" name="Picture 45"/>
                          <pic:cNvPicPr preferRelativeResize="true"/>
                        </pic:nvPicPr>
                        <pic:blipFill>
                          <a:blip r:embed="rId2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552368" cy="170157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694"/>
          </w:tcPr>
          <w:p w14:paraId="6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Каждому укрываемому настоятельно рекомендуется иметь с собой самоспасатель, но могут быть и другие индивидуальные средства защиты, такие как противогаз, респиратор.</w:t>
            </w:r>
          </w:p>
        </w:tc>
      </w:tr>
    </w:tbl>
    <w:p w14:paraId="6401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65010000">
      <w:pPr>
        <w:spacing w:after="0" w:line="240" w:lineRule="auto"/>
        <w:ind w:firstLine="709" w:left="0"/>
        <w:rPr>
          <w:rFonts w:ascii="Times New Roman" w:hAnsi="Times New Roman"/>
          <w:b w:val="1"/>
          <w:sz w:val="28"/>
        </w:rPr>
      </w:pPr>
    </w:p>
    <w:p w14:paraId="66010000">
      <w:pPr>
        <w:spacing w:after="0" w:line="240" w:lineRule="auto"/>
        <w:ind w:firstLine="709"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Аптечка.</w:t>
      </w:r>
    </w:p>
    <w:p w14:paraId="67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Состав аптеч</w:t>
      </w:r>
      <w:r>
        <w:rPr>
          <w:rFonts w:ascii="Times New Roman" w:hAnsi="Times New Roman"/>
          <w:sz w:val="28"/>
        </w:rPr>
        <w:t xml:space="preserve">ки: бинты, лейкопластырь, йод, </w:t>
      </w:r>
      <w:r>
        <w:rPr>
          <w:rFonts w:ascii="Times New Roman" w:hAnsi="Times New Roman"/>
          <w:sz w:val="28"/>
        </w:rPr>
        <w:t>а также медицинские препараты (средства), которые члены семьи вынуждены принимать постоянно.</w:t>
      </w:r>
    </w:p>
    <w:p w14:paraId="68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1"/>
        <w:tblLayout w:type="fixed"/>
      </w:tblPr>
      <w:tblGrid>
        <w:gridCol w:w="4218"/>
        <w:gridCol w:w="6094"/>
      </w:tblGrid>
      <w:tr>
        <w:trPr>
          <w:trHeight w:hRule="atLeast" w:val="2403"/>
        </w:trPr>
        <w:tc>
          <w:tcPr>
            <w:tcW w:type="dxa" w:w="4218"/>
          </w:tcPr>
          <w:p w14:paraId="6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2488758" cy="1749287"/>
                  <wp:effectExtent b="0" l="0" r="0" t="0"/>
                  <wp:docPr hidden="false" id="48" name="Picture 48"/>
                  <a:graphic>
                    <a:graphicData uri="http://schemas.openxmlformats.org/drawingml/2006/picture">
                      <pic:pic>
                        <pic:nvPicPr>
                          <pic:cNvPr hidden="false" id="47" name="Picture 47"/>
                          <pic:cNvPicPr preferRelativeResize="true"/>
                        </pic:nvPicPr>
                        <pic:blipFill>
                          <a:blip r:embed="rId2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488758" cy="174928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094"/>
          </w:tcPr>
          <w:p w14:paraId="6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Паспорт, военный билет, трудовая книжка, пенсионное удостоверение, свидетельство о браке, свидетельство о рождении детей, документы об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учет физического лица в налоговом органе, банковские пластиковые карты, денежные знаки и особо ценные вещи.</w:t>
            </w:r>
          </w:p>
        </w:tc>
      </w:tr>
    </w:tbl>
    <w:p w14:paraId="6B010000">
      <w:pPr>
        <w:spacing w:after="0" w:line="240" w:lineRule="auto"/>
        <w:ind w:firstLine="709"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Основные документы.</w:t>
      </w:r>
    </w:p>
    <w:p w14:paraId="6C01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6D01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Продукты питания и запасы воды.</w:t>
      </w:r>
    </w:p>
    <w:tbl>
      <w:tblPr>
        <w:tblStyle w:val="Style_1"/>
        <w:tblLayout w:type="fixed"/>
      </w:tblPr>
      <w:tblGrid>
        <w:gridCol w:w="4218"/>
        <w:gridCol w:w="6094"/>
      </w:tblGrid>
      <w:tr>
        <w:trPr>
          <w:trHeight w:hRule="atLeast" w:val="2403"/>
        </w:trPr>
        <w:tc>
          <w:tcPr>
            <w:tcW w:type="dxa" w:w="4218"/>
          </w:tcPr>
          <w:p w14:paraId="6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2488758" cy="1572533"/>
                  <wp:effectExtent b="0" l="0" r="0" t="0"/>
                  <wp:docPr hidden="false" id="50" name="Picture 50"/>
                  <a:graphic>
                    <a:graphicData uri="http://schemas.openxmlformats.org/drawingml/2006/picture">
                      <pic:pic>
                        <pic:nvPicPr>
                          <pic:cNvPr hidden="false" id="49" name="Picture 49"/>
                          <pic:cNvPicPr preferRelativeResize="true"/>
                        </pic:nvPicPr>
                        <pic:blipFill>
                          <a:blip r:embed="rId2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488758" cy="157253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094"/>
          </w:tcPr>
          <w:p w14:paraId="6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Продукты питания и запасы воды необходимо взять на срок:</w:t>
            </w:r>
          </w:p>
          <w:p w14:paraId="7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−</w:t>
            </w:r>
            <w:r>
              <w:rPr>
                <w:rFonts w:ascii="Times New Roman" w:hAnsi="Times New Roman"/>
                <w:sz w:val="28"/>
              </w:rPr>
              <w:t xml:space="preserve"> до одних суток, на период действия обычных средств поражения;</w:t>
            </w:r>
          </w:p>
          <w:p w14:paraId="7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−</w:t>
            </w:r>
            <w:r>
              <w:rPr>
                <w:rFonts w:ascii="Times New Roman" w:hAnsi="Times New Roman"/>
                <w:sz w:val="28"/>
              </w:rPr>
              <w:t xml:space="preserve"> до двух суток, в случае, если помещение для укрытия расположено в зоне возможного радиоактивного загрязнения.</w:t>
            </w:r>
          </w:p>
        </w:tc>
      </w:tr>
    </w:tbl>
    <w:p w14:paraId="72010000">
      <w:pPr>
        <w:spacing w:after="0" w:line="240" w:lineRule="auto"/>
        <w:ind w:firstLine="709" w:left="0"/>
        <w:jc w:val="both"/>
        <w:rPr>
          <w:rFonts w:ascii="Times New Roman" w:hAnsi="Times New Roman"/>
          <w:sz w:val="32"/>
        </w:rPr>
      </w:pPr>
    </w:p>
    <w:p w14:paraId="73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74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 продуктов питания нужно брать такие, которые могут долго храниться без холодильника. Предпочтительнее продукты без острых запахов и в защитной упаковке (в пергаментной бумаге, целлофане, различного вида консервы).</w:t>
      </w:r>
    </w:p>
    <w:p w14:paraId="75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Рекомендуется следующий набор:</w:t>
      </w:r>
    </w:p>
    <w:p w14:paraId="76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взрослого человека - сухари, печенье, галеты в бумажной или целлофановой упаковке, мясные или рыбные консервы с консервным ножом и готовые к употреблению, высококалорийные продукты (шоколад, печенье), чай, конфеты, сахар-рафинад, соль и т.д.;</w:t>
      </w:r>
    </w:p>
    <w:p w14:paraId="77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детей, учитывая их возраст и состояние здоровья, - специальное детское питание (по возрасту), сгущенное молоко, сухое молоко, фруктовые напитки и т.д.</w:t>
      </w:r>
    </w:p>
    <w:p w14:paraId="78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Необходимо взять с собой не менее 4,5 литров воды на сутки на каждого человека. В жару потребность воды увеличивается вдвое. Вода должна храниться в пластиковой или эмалированной таре. Ни в коем случае не используйте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стекл</w:t>
      </w:r>
      <w:r>
        <w:rPr>
          <w:rFonts w:ascii="Times New Roman" w:hAnsi="Times New Roman"/>
          <w:sz w:val="28"/>
        </w:rPr>
        <w:t>отару, которая может разбиться.</w:t>
      </w:r>
    </w:p>
    <w:p w14:paraId="79010000">
      <w:pPr>
        <w:spacing w:after="0"/>
        <w:ind/>
        <w:rPr>
          <w:rFonts w:ascii="Times New Roman" w:hAnsi="Times New Roman"/>
          <w:sz w:val="28"/>
        </w:rPr>
      </w:pPr>
    </w:p>
    <w:p w14:paraId="7A010000">
      <w:pPr>
        <w:spacing w:after="0"/>
        <w:ind/>
        <w:rPr>
          <w:rFonts w:ascii="Times New Roman" w:hAnsi="Times New Roman"/>
          <w:sz w:val="28"/>
        </w:rPr>
      </w:pPr>
    </w:p>
    <w:p w14:paraId="7B010000">
      <w:pPr>
        <w:spacing w:after="0"/>
        <w:ind w:firstLine="709"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</w:t>
      </w:r>
    </w:p>
    <w:p w14:paraId="7C010000">
      <w:pPr>
        <w:spacing w:after="0"/>
        <w:ind w:firstLine="709" w:left="0"/>
        <w:jc w:val="right"/>
        <w:rPr>
          <w:rFonts w:ascii="Times New Roman" w:hAnsi="Times New Roman"/>
          <w:sz w:val="28"/>
        </w:rPr>
      </w:pPr>
    </w:p>
    <w:p w14:paraId="7D010000">
      <w:pPr>
        <w:spacing w:after="0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Правила пребывания (поведения) укрываемых в заглубленных и других помещений подземного пространства</w:t>
      </w:r>
    </w:p>
    <w:p w14:paraId="7E010000">
      <w:pPr>
        <w:spacing w:after="0"/>
        <w:ind w:firstLine="709" w:left="0"/>
        <w:jc w:val="both"/>
        <w:rPr>
          <w:rFonts w:ascii="Times New Roman" w:hAnsi="Times New Roman"/>
          <w:b w:val="1"/>
          <w:color w:val="C10000"/>
          <w:sz w:val="28"/>
        </w:rPr>
      </w:pPr>
    </w:p>
    <w:p w14:paraId="7F01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14:paraId="80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спокойно сидеть на своих местах,</w:t>
      </w:r>
    </w:p>
    <w:p w14:paraId="81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выполнять распоряжения дежурных;</w:t>
      </w:r>
    </w:p>
    <w:p w14:paraId="82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поддерживать чистоту и порядок в помещениях;</w:t>
      </w:r>
    </w:p>
    <w:p w14:paraId="83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содержать в готовности средства индивидуальной защиты;</w:t>
      </w:r>
    </w:p>
    <w:p w14:paraId="84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оказывать помощь больным, инвалидам, детям;</w:t>
      </w:r>
    </w:p>
    <w:p w14:paraId="85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соблюдать спокойствие, </w:t>
      </w:r>
      <w:r>
        <w:rPr>
          <w:rFonts w:ascii="Times New Roman" w:hAnsi="Times New Roman"/>
          <w:sz w:val="28"/>
        </w:rPr>
        <w:t>не допускать</w:t>
      </w:r>
      <w:r>
        <w:rPr>
          <w:rFonts w:ascii="Times New Roman" w:hAnsi="Times New Roman"/>
          <w:sz w:val="28"/>
        </w:rPr>
        <w:t xml:space="preserve"> случа</w:t>
      </w:r>
      <w:r>
        <w:rPr>
          <w:rFonts w:ascii="Times New Roman" w:hAnsi="Times New Roman"/>
          <w:sz w:val="28"/>
        </w:rPr>
        <w:t>ев</w:t>
      </w:r>
      <w:r>
        <w:rPr>
          <w:rFonts w:ascii="Times New Roman" w:hAnsi="Times New Roman"/>
          <w:sz w:val="28"/>
        </w:rPr>
        <w:t xml:space="preserve"> паники и нарушений общественного порядка</w:t>
      </w:r>
      <w:r>
        <w:rPr>
          <w:rFonts w:ascii="Times New Roman" w:hAnsi="Times New Roman"/>
          <w:sz w:val="28"/>
        </w:rPr>
        <w:t>;</w:t>
      </w:r>
    </w:p>
    <w:p w14:paraId="86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оставаться на местах в случае отключения освещения;</w:t>
      </w:r>
    </w:p>
    <w:p w14:paraId="87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соблюдать установленный порядок приёма пищи (2-3 раза в сутки при выключенной вентиляции);</w:t>
      </w:r>
    </w:p>
    <w:p w14:paraId="88010000">
      <w:pPr>
        <w:spacing w:after="0"/>
        <w:ind w:firstLine="709" w:left="0"/>
        <w:jc w:val="both"/>
        <w:rPr>
          <w:rFonts w:ascii="Times New Roman" w:hAnsi="Times New Roman"/>
          <w:b w:val="1"/>
          <w:color w:val="C10000"/>
          <w:sz w:val="28"/>
        </w:rPr>
      </w:pPr>
      <w:r>
        <w:rPr>
          <w:rFonts w:ascii="Times New Roman" w:hAnsi="Times New Roman"/>
          <w:sz w:val="28"/>
        </w:rPr>
        <w:t>соблюдать правила техники безопасности.</w:t>
      </w:r>
    </w:p>
    <w:p w14:paraId="89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частичных разрушениях заглубленного и другого помещения 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должны оказывать им посильную помощь в выполнении работ по разборке заваленных выходов, вскрытию лазов и пр.</w:t>
      </w:r>
    </w:p>
    <w:p w14:paraId="8A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</w:t>
      </w:r>
      <w:r>
        <w:rPr>
          <w:rFonts w:ascii="Times New Roman" w:hAnsi="Times New Roman"/>
          <w:sz w:val="28"/>
        </w:rPr>
        <w:t>.</w:t>
      </w:r>
    </w:p>
    <w:p w14:paraId="8B01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8C01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8D01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8E01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8F01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9001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9101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9201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9301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9401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9501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Укрываемым в заглубленных и других помещениях подземного пространства запрещено:</w:t>
      </w:r>
    </w:p>
    <w:tbl>
      <w:tblPr>
        <w:tblStyle w:val="Style_1"/>
        <w:tblLayout w:type="fixed"/>
      </w:tblPr>
      <w:tblGrid>
        <w:gridCol w:w="2376"/>
        <w:gridCol w:w="851"/>
        <w:gridCol w:w="2835"/>
        <w:gridCol w:w="850"/>
        <w:gridCol w:w="3225"/>
      </w:tblGrid>
      <w:tr>
        <w:trPr>
          <w:trHeight w:hRule="atLeast" w:val="1634"/>
        </w:trPr>
        <w:tc>
          <w:tcPr>
            <w:tcW w:type="dxa" w:w="2376"/>
          </w:tcPr>
          <w:p w14:paraId="96010000">
            <w:pPr>
              <w:spacing w:after="0" w:line="240" w:lineRule="auto"/>
              <w:ind w:firstLine="0" w:left="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952500" cy="952500"/>
                  <wp:effectExtent b="0" l="0" r="0" t="0"/>
                  <wp:docPr hidden="false" id="52" name="Picture 52"/>
                  <a:graphic>
                    <a:graphicData uri="http://schemas.openxmlformats.org/drawingml/2006/picture">
                      <pic:pic>
                        <pic:nvPicPr>
                          <pic:cNvPr hidden="false" id="51" name="Picture 51"/>
                          <pic:cNvPicPr preferRelativeResize="true"/>
                        </pic:nvPicPr>
                        <pic:blipFill>
                          <a:blip r:embed="rId2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952500" cy="9525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51"/>
          </w:tcPr>
          <w:p w14:paraId="97010000">
            <w:pPr>
              <w:tabs>
                <w:tab w:leader="none" w:pos="1014" w:val="left"/>
              </w:tabs>
              <w:spacing w:after="0" w:line="240" w:lineRule="auto"/>
              <w:ind/>
              <w:rPr>
                <w:rFonts w:ascii="Times New Roman" w:hAnsi="Times New Roman"/>
                <w:i w:val="1"/>
                <w:sz w:val="28"/>
              </w:rPr>
            </w:pPr>
          </w:p>
        </w:tc>
        <w:tc>
          <w:tcPr>
            <w:tcW w:type="dxa" w:w="2835"/>
          </w:tcPr>
          <w:p w14:paraId="98010000">
            <w:pPr>
              <w:tabs>
                <w:tab w:leader="none" w:pos="1014" w:val="left"/>
              </w:tabs>
              <w:spacing w:after="0" w:line="240" w:lineRule="auto"/>
              <w:ind/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drawing>
                <wp:inline>
                  <wp:extent cx="938696" cy="952500"/>
                  <wp:effectExtent b="0" l="0" r="0" t="0"/>
                  <wp:docPr hidden="false" id="54" name="Picture 54"/>
                  <a:graphic>
                    <a:graphicData uri="http://schemas.openxmlformats.org/drawingml/2006/picture">
                      <pic:pic>
                        <pic:nvPicPr>
                          <pic:cNvPr hidden="false" id="53" name="Picture 53"/>
                          <pic:cNvPicPr preferRelativeResize="true"/>
                        </pic:nvPicPr>
                        <pic:blipFill>
                          <a:blip r:embed="rId28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938696" cy="9525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50"/>
          </w:tcPr>
          <w:p w14:paraId="99010000">
            <w:pPr>
              <w:spacing w:after="0" w:line="240" w:lineRule="auto"/>
              <w:ind w:firstLine="0" w:left="7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225"/>
          </w:tcPr>
          <w:p w14:paraId="9A010000">
            <w:pPr>
              <w:spacing w:after="0" w:line="240" w:lineRule="auto"/>
              <w:ind w:firstLine="0" w:left="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895350" cy="895350"/>
                  <wp:effectExtent b="0" l="0" r="0" t="0"/>
                  <wp:docPr hidden="false" id="56" name="Picture 56"/>
                  <a:graphic>
                    <a:graphicData uri="http://schemas.openxmlformats.org/drawingml/2006/picture">
                      <pic:pic>
                        <pic:nvPicPr>
                          <pic:cNvPr hidden="false" id="55" name="Picture 55"/>
                          <pic:cNvPicPr preferRelativeResize="true"/>
                        </pic:nvPicPr>
                        <pic:blipFill>
                          <a:blip r:embed="rId2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895350" cy="8953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1387"/>
        </w:trPr>
        <w:tc>
          <w:tcPr>
            <w:tcW w:type="dxa" w:w="2376"/>
          </w:tcPr>
          <w:p w14:paraId="9B010000">
            <w:pPr>
              <w:spacing w:after="0" w:line="240" w:lineRule="auto"/>
              <w:ind w:firstLine="0" w:left="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− </w:t>
            </w:r>
            <w:r>
              <w:rPr>
                <w:rFonts w:ascii="Times New Roman" w:hAnsi="Times New Roman"/>
                <w:sz w:val="28"/>
              </w:rPr>
              <w:t>курить</w:t>
            </w:r>
          </w:p>
        </w:tc>
        <w:tc>
          <w:tcPr>
            <w:tcW w:type="dxa" w:w="851"/>
          </w:tcPr>
          <w:p w14:paraId="9C010000">
            <w:pPr>
              <w:spacing w:after="0" w:line="240" w:lineRule="auto"/>
              <w:ind w:firstLine="0" w:left="7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835"/>
          </w:tcPr>
          <w:p w14:paraId="9D010000">
            <w:pPr>
              <w:spacing w:after="0" w:line="240" w:lineRule="auto"/>
              <w:ind w:firstLine="0" w:left="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− </w:t>
            </w:r>
            <w:r>
              <w:rPr>
                <w:rFonts w:ascii="Times New Roman" w:hAnsi="Times New Roman"/>
                <w:sz w:val="28"/>
              </w:rPr>
              <w:t>употреблять спиртные напитки</w:t>
            </w:r>
          </w:p>
        </w:tc>
        <w:tc>
          <w:tcPr>
            <w:tcW w:type="dxa" w:w="850"/>
          </w:tcPr>
          <w:p w14:paraId="9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225"/>
          </w:tcPr>
          <w:p w14:paraId="9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− </w:t>
            </w:r>
            <w:r>
              <w:rPr>
                <w:rFonts w:ascii="Times New Roman" w:hAnsi="Times New Roman"/>
                <w:sz w:val="28"/>
              </w:rPr>
              <w:t>применять источники освещения с открытым пламен</w:t>
            </w:r>
            <w:r>
              <w:rPr>
                <w:rFonts w:ascii="Times New Roman" w:hAnsi="Times New Roman"/>
                <w:sz w:val="28"/>
              </w:rPr>
              <w:t>ем, пользоваться открытым огнем</w:t>
            </w:r>
          </w:p>
        </w:tc>
      </w:tr>
      <w:tr>
        <w:trPr>
          <w:trHeight w:hRule="atLeast" w:val="1609"/>
        </w:trPr>
        <w:tc>
          <w:tcPr>
            <w:tcW w:type="dxa" w:w="2376"/>
          </w:tcPr>
          <w:p w14:paraId="A0010000">
            <w:pPr>
              <w:spacing w:after="0" w:line="240" w:lineRule="auto"/>
              <w:ind w:firstLine="0" w:left="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904875" cy="904875"/>
                  <wp:effectExtent b="0" l="0" r="0" t="0"/>
                  <wp:docPr hidden="false" id="58" name="Picture 58"/>
                  <a:graphic>
                    <a:graphicData uri="http://schemas.openxmlformats.org/drawingml/2006/picture">
                      <pic:pic>
                        <pic:nvPicPr>
                          <pic:cNvPr hidden="false" id="57" name="Picture 57"/>
                          <pic:cNvPicPr preferRelativeResize="true"/>
                        </pic:nvPicPr>
                        <pic:blipFill>
                          <a:blip r:embed="rId30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904875" cy="9048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51"/>
          </w:tcPr>
          <w:p w14:paraId="A1010000">
            <w:pPr>
              <w:spacing w:after="0" w:line="240" w:lineRule="auto"/>
              <w:ind w:firstLine="0" w:left="7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835"/>
          </w:tcPr>
          <w:p w14:paraId="A2010000">
            <w:pPr>
              <w:spacing w:after="0" w:line="240" w:lineRule="auto"/>
              <w:ind w:firstLine="0" w:left="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933450" cy="933450"/>
                  <wp:effectExtent b="0" l="0" r="0" t="0"/>
                  <wp:docPr hidden="false" id="60" name="Picture 60"/>
                  <a:graphic>
                    <a:graphicData uri="http://schemas.openxmlformats.org/drawingml/2006/picture">
                      <pic:pic>
                        <pic:nvPicPr>
                          <pic:cNvPr hidden="false" id="59" name="Picture 59"/>
                          <pic:cNvPicPr preferRelativeResize="true"/>
                        </pic:nvPicPr>
                        <pic:blipFill>
                          <a:blip r:embed="rId3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933450" cy="9334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50"/>
          </w:tcPr>
          <w:p w14:paraId="A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225"/>
          </w:tcPr>
          <w:p w14:paraId="A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1226556" cy="912239"/>
                  <wp:effectExtent b="0" l="0" r="0" t="0"/>
                  <wp:docPr hidden="false" id="62" name="Picture 62"/>
                  <a:graphic>
                    <a:graphicData uri="http://schemas.openxmlformats.org/drawingml/2006/picture">
                      <pic:pic>
                        <pic:nvPicPr>
                          <pic:cNvPr hidden="false" id="61" name="Picture 61"/>
                          <pic:cNvPicPr preferRelativeResize="true"/>
                        </pic:nvPicPr>
                        <pic:blipFill>
                          <a:blip r:embed="rId3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226556" cy="91223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1406"/>
        </w:trPr>
        <w:tc>
          <w:tcPr>
            <w:tcW w:type="dxa" w:w="2376"/>
          </w:tcPr>
          <w:p w14:paraId="A5010000">
            <w:pPr>
              <w:spacing w:after="0" w:line="240" w:lineRule="auto"/>
              <w:ind w:firstLine="0" w:left="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−</w:t>
            </w:r>
            <w:r>
              <w:rPr>
                <w:rFonts w:ascii="Times New Roman" w:hAnsi="Times New Roman"/>
                <w:sz w:val="28"/>
              </w:rPr>
              <w:t xml:space="preserve"> ходить без надобности по помещению</w:t>
            </w:r>
          </w:p>
        </w:tc>
        <w:tc>
          <w:tcPr>
            <w:tcW w:type="dxa" w:w="851"/>
          </w:tcPr>
          <w:p w14:paraId="A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835"/>
          </w:tcPr>
          <w:p w14:paraId="A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− </w:t>
            </w:r>
            <w:r>
              <w:rPr>
                <w:rFonts w:ascii="Times New Roman" w:hAnsi="Times New Roman"/>
                <w:sz w:val="28"/>
              </w:rPr>
              <w:t xml:space="preserve">шуметь, </w:t>
            </w:r>
            <w:r>
              <w:rPr>
                <w:rFonts w:ascii="Times New Roman" w:hAnsi="Times New Roman"/>
                <w:sz w:val="28"/>
              </w:rPr>
              <w:t xml:space="preserve">громко </w:t>
            </w:r>
            <w:r>
              <w:rPr>
                <w:rFonts w:ascii="Times New Roman" w:hAnsi="Times New Roman"/>
                <w:sz w:val="28"/>
              </w:rPr>
              <w:t>разговаривать</w:t>
            </w:r>
          </w:p>
        </w:tc>
        <w:tc>
          <w:tcPr>
            <w:tcW w:type="dxa" w:w="850"/>
          </w:tcPr>
          <w:p w14:paraId="A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225"/>
          </w:tcPr>
          <w:p w14:paraId="A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−</w:t>
            </w:r>
            <w:r>
              <w:rPr>
                <w:rFonts w:ascii="Times New Roman" w:hAnsi="Times New Roman"/>
                <w:sz w:val="28"/>
              </w:rPr>
              <w:t xml:space="preserve"> громко слушать без наушников радиоприёмники, магнитофоны и другие радиосредства</w:t>
            </w:r>
          </w:p>
        </w:tc>
      </w:tr>
      <w:tr>
        <w:trPr>
          <w:trHeight w:hRule="atLeast" w:val="1609"/>
        </w:trPr>
        <w:tc>
          <w:tcPr>
            <w:tcW w:type="dxa" w:w="2376"/>
          </w:tcPr>
          <w:p w14:paraId="AA010000">
            <w:pPr>
              <w:spacing w:after="0" w:line="240" w:lineRule="auto"/>
              <w:ind w:firstLine="0" w:left="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952500" cy="928981"/>
                  <wp:effectExtent b="0" l="0" r="0" t="0"/>
                  <wp:docPr hidden="false" id="64" name="Picture 64"/>
                  <a:graphic>
                    <a:graphicData uri="http://schemas.openxmlformats.org/drawingml/2006/picture">
                      <pic:pic>
                        <pic:nvPicPr>
                          <pic:cNvPr hidden="false" id="63" name="Picture 63"/>
                          <pic:cNvPicPr preferRelativeResize="true"/>
                        </pic:nvPicPr>
                        <pic:blipFill>
                          <a:blip r:embed="rId33"/>
                          <a:srcRect b="18487" l="15966" r="15966" t="15126"/>
                          <a:stretch/>
                        </pic:blipFill>
                        <pic:spPr>
                          <a:xfrm flipH="false" flipV="false" rot="0">
                            <a:ext cx="952500" cy="92898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51"/>
          </w:tcPr>
          <w:p w14:paraId="A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835"/>
          </w:tcPr>
          <w:p w14:paraId="A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50"/>
          </w:tcPr>
          <w:p w14:paraId="A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225"/>
          </w:tcPr>
          <w:p w14:paraId="A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1139"/>
        </w:trPr>
        <w:tc>
          <w:tcPr>
            <w:tcW w:type="dxa" w:w="2376"/>
          </w:tcPr>
          <w:p w14:paraId="AF010000">
            <w:pPr>
              <w:spacing w:after="0" w:line="240" w:lineRule="auto"/>
              <w:ind w:firstLine="0" w:left="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− открывать и закрывать входные двери без разрешения </w:t>
            </w:r>
            <w:r>
              <w:rPr>
                <w:rFonts w:ascii="Times New Roman" w:hAnsi="Times New Roman"/>
                <w:sz w:val="28"/>
              </w:rPr>
              <w:t>старшего по укрытию</w:t>
            </w:r>
          </w:p>
        </w:tc>
        <w:tc>
          <w:tcPr>
            <w:tcW w:type="dxa" w:w="851"/>
          </w:tcPr>
          <w:p w14:paraId="B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835"/>
          </w:tcPr>
          <w:p w14:paraId="B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50"/>
          </w:tcPr>
          <w:p w14:paraId="B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225"/>
          </w:tcPr>
          <w:p w14:paraId="B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14:paraId="B401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А также:</w:t>
      </w:r>
    </w:p>
    <w:p w14:paraId="B5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самостоятельно включать и выключать освещение;</w:t>
      </w:r>
    </w:p>
    <w:p w14:paraId="B6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брать и пользоваться инструментом, инженерными агрегатами без указания дежурных;</w:t>
      </w:r>
    </w:p>
    <w:p w14:paraId="B7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вход</w:t>
      </w:r>
      <w:r>
        <w:rPr>
          <w:rFonts w:ascii="Times New Roman" w:hAnsi="Times New Roman"/>
          <w:sz w:val="28"/>
        </w:rPr>
        <w:t xml:space="preserve">ить в технические помещения, </w:t>
      </w:r>
      <w:r>
        <w:rPr>
          <w:rFonts w:ascii="Times New Roman" w:hAnsi="Times New Roman"/>
          <w:sz w:val="28"/>
        </w:rPr>
        <w:t>вк</w:t>
      </w:r>
      <w:r>
        <w:rPr>
          <w:rFonts w:ascii="Times New Roman" w:hAnsi="Times New Roman"/>
          <w:sz w:val="28"/>
        </w:rPr>
        <w:t>лючать (</w:t>
      </w:r>
      <w:r>
        <w:rPr>
          <w:rFonts w:ascii="Times New Roman" w:hAnsi="Times New Roman"/>
          <w:sz w:val="28"/>
        </w:rPr>
        <w:t>выключать) ру</w:t>
      </w:r>
      <w:r>
        <w:rPr>
          <w:rFonts w:ascii="Times New Roman" w:hAnsi="Times New Roman"/>
          <w:sz w:val="28"/>
        </w:rPr>
        <w:t xml:space="preserve">бильники и др. оборудование, </w:t>
      </w:r>
      <w:r>
        <w:rPr>
          <w:rFonts w:ascii="Times New Roman" w:hAnsi="Times New Roman"/>
          <w:sz w:val="28"/>
        </w:rPr>
        <w:t>прикасаться к электрооборудованию, к запорной арматуре систем водоснабжения, канализации, теплоснабжения, к дверным затворам и другому оборудованию);</w:t>
      </w:r>
    </w:p>
    <w:p w14:paraId="B801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самостоятельно выходить из помещений.</w:t>
      </w:r>
    </w:p>
    <w:p w14:paraId="B9010000">
      <w:pPr>
        <w:spacing w:after="0"/>
        <w:ind/>
        <w:rPr>
          <w:rFonts w:ascii="Times New Roman" w:hAnsi="Times New Roman"/>
          <w:b w:val="1"/>
          <w:sz w:val="28"/>
        </w:rPr>
      </w:pPr>
    </w:p>
    <w:p w14:paraId="BA010000">
      <w:pPr>
        <w:spacing w:after="0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СПИСОК СОКРАЩЕНИЙ</w:t>
      </w:r>
    </w:p>
    <w:p w14:paraId="BB010000">
      <w:pPr>
        <w:spacing w:after="0"/>
        <w:ind/>
        <w:jc w:val="center"/>
        <w:rPr>
          <w:rFonts w:ascii="Times New Roman" w:hAnsi="Times New Roman"/>
          <w:b w:val="1"/>
          <w:sz w:val="28"/>
        </w:rPr>
      </w:pPr>
    </w:p>
    <w:tbl>
      <w:tblPr>
        <w:tblStyle w:val="Style_8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1636"/>
        <w:gridCol w:w="1112"/>
        <w:gridCol w:w="7457"/>
      </w:tblGrid>
      <w:tr>
        <w:trPr>
          <w:trHeight w:hRule="atLeast" w:val="549"/>
        </w:trPr>
        <w:tc>
          <w:tcPr>
            <w:tcW w:type="dxa" w:w="163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BC010000">
            <w:pPr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ГОСТ Р</w:t>
            </w:r>
          </w:p>
        </w:tc>
        <w:tc>
          <w:tcPr>
            <w:tcW w:type="dxa" w:w="111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BD01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-</w:t>
            </w:r>
          </w:p>
        </w:tc>
        <w:tc>
          <w:tcPr>
            <w:tcW w:type="dxa" w:w="7457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BE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Государственный стандарт России</w:t>
            </w:r>
          </w:p>
        </w:tc>
      </w:tr>
      <w:tr>
        <w:trPr>
          <w:trHeight w:hRule="atLeast" w:val="549"/>
        </w:trPr>
        <w:tc>
          <w:tcPr>
            <w:tcW w:type="dxa" w:w="163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BF010000">
            <w:pPr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ЖСК</w:t>
            </w:r>
          </w:p>
        </w:tc>
        <w:tc>
          <w:tcPr>
            <w:tcW w:type="dxa" w:w="111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C0010000">
            <w:pPr>
              <w:ind/>
              <w:jc w:val="center"/>
            </w:pPr>
            <w:r>
              <w:rPr>
                <w:rFonts w:ascii="Times New Roman" w:hAnsi="Times New Roman"/>
                <w:b w:val="1"/>
                <w:sz w:val="28"/>
              </w:rPr>
              <w:t>-</w:t>
            </w:r>
          </w:p>
        </w:tc>
        <w:tc>
          <w:tcPr>
            <w:tcW w:type="dxa" w:w="7457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C1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жилищно-строительный кооператив</w:t>
            </w:r>
          </w:p>
        </w:tc>
      </w:tr>
      <w:tr>
        <w:trPr>
          <w:trHeight w:hRule="atLeast" w:val="549"/>
        </w:trPr>
        <w:tc>
          <w:tcPr>
            <w:tcW w:type="dxa" w:w="163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C2010000">
            <w:pPr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ЖЭК</w:t>
            </w:r>
          </w:p>
        </w:tc>
        <w:tc>
          <w:tcPr>
            <w:tcW w:type="dxa" w:w="111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C3010000">
            <w:pPr>
              <w:ind/>
              <w:jc w:val="center"/>
            </w:pPr>
            <w:r>
              <w:rPr>
                <w:rFonts w:ascii="Times New Roman" w:hAnsi="Times New Roman"/>
                <w:b w:val="1"/>
                <w:sz w:val="28"/>
              </w:rPr>
              <w:t>-</w:t>
            </w:r>
          </w:p>
        </w:tc>
        <w:tc>
          <w:tcPr>
            <w:tcW w:type="dxa" w:w="7457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C4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жилищно-эксплуатационная контора</w:t>
            </w:r>
          </w:p>
        </w:tc>
      </w:tr>
      <w:tr>
        <w:trPr>
          <w:trHeight w:hRule="atLeast" w:val="575"/>
        </w:trPr>
        <w:tc>
          <w:tcPr>
            <w:tcW w:type="dxa" w:w="163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C5010000">
            <w:pPr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ЖЭПК</w:t>
            </w:r>
          </w:p>
        </w:tc>
        <w:tc>
          <w:tcPr>
            <w:tcW w:type="dxa" w:w="111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C6010000">
            <w:pPr>
              <w:ind/>
              <w:jc w:val="center"/>
            </w:pPr>
            <w:r>
              <w:rPr>
                <w:rFonts w:ascii="Times New Roman" w:hAnsi="Times New Roman"/>
                <w:b w:val="1"/>
                <w:sz w:val="28"/>
              </w:rPr>
              <w:t>-</w:t>
            </w:r>
          </w:p>
        </w:tc>
        <w:tc>
          <w:tcPr>
            <w:tcW w:type="dxa" w:w="7457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C7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жилищно-эксплуатационный потребительский кооператив</w:t>
            </w:r>
          </w:p>
        </w:tc>
      </w:tr>
      <w:tr>
        <w:trPr>
          <w:trHeight w:hRule="atLeast" w:val="549"/>
        </w:trPr>
        <w:tc>
          <w:tcPr>
            <w:tcW w:type="dxa" w:w="163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C8010000">
            <w:pPr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КЧС и ПБ</w:t>
            </w:r>
          </w:p>
        </w:tc>
        <w:tc>
          <w:tcPr>
            <w:tcW w:type="dxa" w:w="111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C901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-</w:t>
            </w:r>
          </w:p>
        </w:tc>
        <w:tc>
          <w:tcPr>
            <w:tcW w:type="dxa" w:w="7457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CA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комиссия по предупреждению и ликвидации чрезвычайных ситуаций и обеспечению пожарной безопасности</w:t>
            </w:r>
          </w:p>
        </w:tc>
      </w:tr>
      <w:tr>
        <w:trPr>
          <w:trHeight w:hRule="atLeast" w:val="549"/>
        </w:trPr>
        <w:tc>
          <w:tcPr>
            <w:tcW w:type="dxa" w:w="163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CB010000">
            <w:pPr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НРС</w:t>
            </w:r>
          </w:p>
        </w:tc>
        <w:tc>
          <w:tcPr>
            <w:tcW w:type="dxa" w:w="111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CC01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-</w:t>
            </w:r>
          </w:p>
        </w:tc>
        <w:tc>
          <w:tcPr>
            <w:tcW w:type="dxa" w:w="7457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CD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наибольшая работающая смена организации</w:t>
            </w:r>
          </w:p>
        </w:tc>
      </w:tr>
      <w:tr>
        <w:trPr>
          <w:trHeight w:hRule="atLeast" w:val="549"/>
        </w:trPr>
        <w:tc>
          <w:tcPr>
            <w:tcW w:type="dxa" w:w="163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CE010000">
            <w:pPr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ОМСУ</w:t>
            </w:r>
          </w:p>
        </w:tc>
        <w:tc>
          <w:tcPr>
            <w:tcW w:type="dxa" w:w="111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CF01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-</w:t>
            </w:r>
          </w:p>
        </w:tc>
        <w:tc>
          <w:tcPr>
            <w:tcW w:type="dxa" w:w="7457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D0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органы местного самоуправления</w:t>
            </w:r>
          </w:p>
        </w:tc>
      </w:tr>
      <w:tr>
        <w:trPr>
          <w:trHeight w:hRule="atLeast" w:val="575"/>
        </w:trPr>
        <w:tc>
          <w:tcPr>
            <w:tcW w:type="dxa" w:w="163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D1010000">
            <w:pPr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ПЖСК</w:t>
            </w:r>
          </w:p>
        </w:tc>
        <w:tc>
          <w:tcPr>
            <w:tcW w:type="dxa" w:w="111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D2010000">
            <w:pPr>
              <w:ind/>
              <w:jc w:val="center"/>
            </w:pPr>
            <w:r>
              <w:rPr>
                <w:rFonts w:ascii="Times New Roman" w:hAnsi="Times New Roman"/>
                <w:b w:val="1"/>
                <w:sz w:val="28"/>
              </w:rPr>
              <w:t>-</w:t>
            </w:r>
          </w:p>
        </w:tc>
        <w:tc>
          <w:tcPr>
            <w:tcW w:type="dxa" w:w="7457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D3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потребительский жилищно-строительный кооператив</w:t>
            </w:r>
          </w:p>
        </w:tc>
      </w:tr>
      <w:tr>
        <w:trPr>
          <w:trHeight w:hRule="atLeast" w:val="575"/>
        </w:trPr>
        <w:tc>
          <w:tcPr>
            <w:tcW w:type="dxa" w:w="163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D4010000">
            <w:pPr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СНиП</w:t>
            </w:r>
          </w:p>
        </w:tc>
        <w:tc>
          <w:tcPr>
            <w:tcW w:type="dxa" w:w="111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D501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-</w:t>
            </w:r>
          </w:p>
        </w:tc>
        <w:tc>
          <w:tcPr>
            <w:tcW w:type="dxa" w:w="7457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D6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строительные нормы и правила</w:t>
            </w:r>
          </w:p>
        </w:tc>
      </w:tr>
      <w:tr>
        <w:trPr>
          <w:trHeight w:hRule="atLeast" w:val="549"/>
        </w:trPr>
        <w:tc>
          <w:tcPr>
            <w:tcW w:type="dxa" w:w="163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D7010000">
            <w:pPr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ТСЖ</w:t>
            </w:r>
          </w:p>
        </w:tc>
        <w:tc>
          <w:tcPr>
            <w:tcW w:type="dxa" w:w="111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D8010000">
            <w:pPr>
              <w:ind/>
              <w:jc w:val="center"/>
            </w:pPr>
            <w:r>
              <w:rPr>
                <w:rFonts w:ascii="Times New Roman" w:hAnsi="Times New Roman"/>
                <w:b w:val="1"/>
                <w:sz w:val="28"/>
              </w:rPr>
              <w:t>-</w:t>
            </w:r>
          </w:p>
        </w:tc>
        <w:tc>
          <w:tcPr>
            <w:tcW w:type="dxa" w:w="7457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D9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товарищество собственников жилья</w:t>
            </w:r>
          </w:p>
        </w:tc>
      </w:tr>
      <w:tr>
        <w:trPr>
          <w:trHeight w:hRule="atLeast" w:val="549"/>
        </w:trPr>
        <w:tc>
          <w:tcPr>
            <w:tcW w:type="dxa" w:w="163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DA010000">
            <w:pPr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ТСН</w:t>
            </w:r>
          </w:p>
        </w:tc>
        <w:tc>
          <w:tcPr>
            <w:tcW w:type="dxa" w:w="111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DB010000">
            <w:pPr>
              <w:ind/>
              <w:jc w:val="center"/>
            </w:pPr>
            <w:r>
              <w:rPr>
                <w:rFonts w:ascii="Times New Roman" w:hAnsi="Times New Roman"/>
                <w:b w:val="1"/>
                <w:sz w:val="28"/>
              </w:rPr>
              <w:t>-</w:t>
            </w:r>
          </w:p>
        </w:tc>
        <w:tc>
          <w:tcPr>
            <w:tcW w:type="dxa" w:w="7457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DC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товарищество собственников недвижимости</w:t>
            </w:r>
          </w:p>
        </w:tc>
      </w:tr>
      <w:tr>
        <w:trPr>
          <w:trHeight w:hRule="atLeast" w:val="549"/>
        </w:trPr>
        <w:tc>
          <w:tcPr>
            <w:tcW w:type="dxa" w:w="163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DD010000">
            <w:pPr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УК</w:t>
            </w:r>
          </w:p>
        </w:tc>
        <w:tc>
          <w:tcPr>
            <w:tcW w:type="dxa" w:w="111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DE010000">
            <w:pPr>
              <w:ind/>
              <w:jc w:val="center"/>
            </w:pPr>
            <w:r>
              <w:rPr>
                <w:rFonts w:ascii="Times New Roman" w:hAnsi="Times New Roman"/>
                <w:b w:val="1"/>
                <w:sz w:val="28"/>
              </w:rPr>
              <w:t>-</w:t>
            </w:r>
          </w:p>
        </w:tc>
        <w:tc>
          <w:tcPr>
            <w:tcW w:type="dxa" w:w="7457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DF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управляющая компания</w:t>
            </w:r>
          </w:p>
        </w:tc>
      </w:tr>
    </w:tbl>
    <w:p w14:paraId="E0010000">
      <w:pPr>
        <w:spacing w:after="0"/>
        <w:ind/>
        <w:jc w:val="center"/>
        <w:rPr>
          <w:rFonts w:ascii="Times New Roman" w:hAnsi="Times New Roman"/>
          <w:b w:val="1"/>
          <w:sz w:val="28"/>
        </w:rPr>
      </w:pPr>
    </w:p>
    <w:sectPr>
      <w:headerReference r:id="rId1" w:type="default"/>
      <w:type w:val="continuous"/>
      <w:pgSz w:h="16838" w:orient="portrait" w:w="11906"/>
      <w:pgMar w:bottom="1134" w:footer="709" w:gutter="0" w:header="709" w:left="1134" w:right="567" w:top="1134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tbl>
    <w:tblPr>
      <w:tblStyle w:val="Style_1"/>
      <w:tblInd w:type="dxa" w:w="4253"/>
      <w:tblLayout w:type="fixed"/>
      <w:tblCellMar>
        <w:left w:type="dxa" w:w="0"/>
        <w:right w:type="dxa" w:w="0"/>
      </w:tblCellMar>
    </w:tblPr>
    <w:tblGrid>
      <w:gridCol w:w="992"/>
    </w:tblGrid>
    <w:tr>
      <w:trPr>
        <w:trHeight w:hRule="atLeast" w:val="295"/>
      </w:trPr>
      <w:tc>
        <w:tcPr>
          <w:tcW w:type="dxa" w:w="992"/>
          <w:tcMar>
            <w:left w:type="dxa" w:w="0"/>
            <w:right w:type="dxa" w:w="0"/>
          </w:tcMar>
        </w:tcPr>
        <w:p w14:paraId="01000000">
          <w:pPr>
            <w:pStyle w:val="Style_2"/>
            <w:tabs>
              <w:tab w:leader="none" w:pos="4677" w:val="clear"/>
              <w:tab w:leader="none" w:pos="9355" w:val="clear"/>
            </w:tabs>
            <w:ind/>
            <w:jc w:val="center"/>
          </w:pPr>
        </w:p>
      </w:tc>
    </w:tr>
  </w:tbl>
  <w:p w14:paraId="02000000">
    <w:pPr>
      <w:pStyle w:val="Style_2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1069"/>
      </w:pPr>
    </w:lvl>
    <w:lvl w:ilvl="1">
      <w:start w:val="1"/>
      <w:numFmt w:val="lowerLetter"/>
      <w:lvlText w:val="%2."/>
      <w:lvlJc w:val="left"/>
      <w:pPr>
        <w:ind w:hanging="360" w:left="1789"/>
      </w:pPr>
    </w:lvl>
    <w:lvl w:ilvl="2">
      <w:start w:val="1"/>
      <w:numFmt w:val="lowerRoman"/>
      <w:lvlText w:val="%3."/>
      <w:lvlJc w:val="right"/>
      <w:pPr>
        <w:ind w:hanging="180" w:left="2509"/>
      </w:pPr>
    </w:lvl>
    <w:lvl w:ilvl="3">
      <w:start w:val="1"/>
      <w:numFmt w:val="decimal"/>
      <w:lvlText w:val="%4."/>
      <w:lvlJc w:val="left"/>
      <w:pPr>
        <w:ind w:hanging="360" w:left="3229"/>
      </w:pPr>
    </w:lvl>
    <w:lvl w:ilvl="4">
      <w:start w:val="1"/>
      <w:numFmt w:val="lowerLetter"/>
      <w:lvlText w:val="%5."/>
      <w:lvlJc w:val="left"/>
      <w:pPr>
        <w:ind w:hanging="360" w:left="3949"/>
      </w:pPr>
    </w:lvl>
    <w:lvl w:ilvl="5">
      <w:start w:val="1"/>
      <w:numFmt w:val="lowerRoman"/>
      <w:lvlText w:val="%6."/>
      <w:lvlJc w:val="right"/>
      <w:pPr>
        <w:ind w:hanging="180" w:left="4669"/>
      </w:pPr>
    </w:lvl>
    <w:lvl w:ilvl="6">
      <w:start w:val="1"/>
      <w:numFmt w:val="decimal"/>
      <w:lvlText w:val="%7."/>
      <w:lvlJc w:val="left"/>
      <w:pPr>
        <w:ind w:hanging="360" w:left="5389"/>
      </w:pPr>
    </w:lvl>
    <w:lvl w:ilvl="7">
      <w:start w:val="1"/>
      <w:numFmt w:val="lowerLetter"/>
      <w:lvlText w:val="%8."/>
      <w:lvlJc w:val="left"/>
      <w:pPr>
        <w:ind w:hanging="360" w:left="6109"/>
      </w:pPr>
    </w:lvl>
    <w:lvl w:ilvl="8">
      <w:start w:val="1"/>
      <w:numFmt w:val="lowerRoman"/>
      <w:lvlText w:val="%9."/>
      <w:lvlJc w:val="right"/>
      <w:pPr>
        <w:ind w:hanging="180" w:left="6829"/>
      </w:pPr>
    </w:lvl>
  </w:abstractNum>
  <w:abstractNum w:abstractNumId="1">
    <w:lvl w:ilvl="0">
      <w:start w:val="5"/>
      <w:numFmt w:val="decimal"/>
      <w:lvlText w:val="%1."/>
      <w:lvlJc w:val="left"/>
      <w:pPr>
        <w:ind w:hanging="360" w:left="1069"/>
      </w:pPr>
    </w:lvl>
    <w:lvl w:ilvl="1">
      <w:start w:val="1"/>
      <w:numFmt w:val="lowerLetter"/>
      <w:lvlText w:val="%2."/>
      <w:lvlJc w:val="left"/>
      <w:pPr>
        <w:ind w:hanging="360" w:left="1789"/>
      </w:pPr>
    </w:lvl>
    <w:lvl w:ilvl="2">
      <w:start w:val="1"/>
      <w:numFmt w:val="lowerRoman"/>
      <w:lvlText w:val="%3."/>
      <w:lvlJc w:val="right"/>
      <w:pPr>
        <w:ind w:hanging="180" w:left="2509"/>
      </w:pPr>
    </w:lvl>
    <w:lvl w:ilvl="3">
      <w:start w:val="1"/>
      <w:numFmt w:val="decimal"/>
      <w:lvlText w:val="%4."/>
      <w:lvlJc w:val="left"/>
      <w:pPr>
        <w:ind w:hanging="360" w:left="3229"/>
      </w:pPr>
    </w:lvl>
    <w:lvl w:ilvl="4">
      <w:start w:val="1"/>
      <w:numFmt w:val="lowerLetter"/>
      <w:lvlText w:val="%5."/>
      <w:lvlJc w:val="left"/>
      <w:pPr>
        <w:ind w:hanging="360" w:left="3949"/>
      </w:pPr>
    </w:lvl>
    <w:lvl w:ilvl="5">
      <w:start w:val="1"/>
      <w:numFmt w:val="lowerRoman"/>
      <w:lvlText w:val="%6."/>
      <w:lvlJc w:val="right"/>
      <w:pPr>
        <w:ind w:hanging="180" w:left="4669"/>
      </w:pPr>
    </w:lvl>
    <w:lvl w:ilvl="6">
      <w:start w:val="1"/>
      <w:numFmt w:val="decimal"/>
      <w:lvlText w:val="%7."/>
      <w:lvlJc w:val="left"/>
      <w:pPr>
        <w:ind w:hanging="360" w:left="5389"/>
      </w:pPr>
    </w:lvl>
    <w:lvl w:ilvl="7">
      <w:start w:val="1"/>
      <w:numFmt w:val="lowerLetter"/>
      <w:lvlText w:val="%8."/>
      <w:lvlJc w:val="left"/>
      <w:pPr>
        <w:ind w:hanging="360" w:left="6109"/>
      </w:pPr>
    </w:lvl>
    <w:lvl w:ilvl="8">
      <w:start w:val="1"/>
      <w:numFmt w:val="lowerRoman"/>
      <w:lvlText w:val="%9."/>
      <w:lvlJc w:val="right"/>
      <w:pPr>
        <w:ind w:hanging="180" w:left="6829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9" w:type="paragraph">
    <w:name w:val="Normal"/>
    <w:link w:val="Style_9_ch"/>
    <w:uiPriority w:val="0"/>
    <w:qFormat/>
  </w:style>
  <w:style w:default="1" w:styleId="Style_9_ch" w:type="character">
    <w:name w:val="Normal"/>
    <w:link w:val="Style_9"/>
  </w:style>
  <w:style w:styleId="Style_10" w:type="paragraph">
    <w:name w:val="toc 2"/>
    <w:basedOn w:val="Style_9"/>
    <w:next w:val="Style_9"/>
    <w:link w:val="Style_10_ch"/>
    <w:uiPriority w:val="39"/>
    <w:pPr>
      <w:widowControl w:val="0"/>
      <w:spacing w:after="0" w:line="240" w:lineRule="auto"/>
      <w:ind w:firstLine="720" w:left="240"/>
      <w:jc w:val="both"/>
    </w:pPr>
    <w:rPr>
      <w:rFonts w:ascii="Arial" w:hAnsi="Arial"/>
      <w:sz w:val="24"/>
    </w:rPr>
  </w:style>
  <w:style w:styleId="Style_10_ch" w:type="character">
    <w:name w:val="toc 2"/>
    <w:basedOn w:val="Style_9_ch"/>
    <w:link w:val="Style_10"/>
    <w:rPr>
      <w:rFonts w:ascii="Arial" w:hAnsi="Arial"/>
      <w:sz w:val="24"/>
    </w:rPr>
  </w:style>
  <w:style w:styleId="Style_2" w:type="paragraph">
    <w:name w:val="header"/>
    <w:basedOn w:val="Style_9"/>
    <w:link w:val="Style_2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_ch" w:type="character">
    <w:name w:val="header"/>
    <w:basedOn w:val="Style_9_ch"/>
    <w:link w:val="Style_2"/>
  </w:style>
  <w:style w:styleId="Style_11" w:type="paragraph">
    <w:name w:val="Цветовое выделение"/>
    <w:link w:val="Style_11_ch"/>
    <w:rPr>
      <w:b w:val="1"/>
      <w:color w:val="000080"/>
      <w:sz w:val="24"/>
    </w:rPr>
  </w:style>
  <w:style w:styleId="Style_11_ch" w:type="character">
    <w:name w:val="Цветовое выделение"/>
    <w:link w:val="Style_11"/>
    <w:rPr>
      <w:b w:val="1"/>
      <w:color w:val="000080"/>
      <w:sz w:val="24"/>
    </w:rPr>
  </w:style>
  <w:style w:styleId="Style_12" w:type="paragraph">
    <w:name w:val="toc 4"/>
    <w:basedOn w:val="Style_9"/>
    <w:next w:val="Style_9"/>
    <w:link w:val="Style_12_ch"/>
    <w:uiPriority w:val="39"/>
    <w:pPr>
      <w:widowControl w:val="0"/>
      <w:spacing w:after="0" w:line="240" w:lineRule="auto"/>
      <w:ind w:firstLine="720" w:left="720"/>
      <w:jc w:val="both"/>
    </w:pPr>
    <w:rPr>
      <w:rFonts w:ascii="Arial" w:hAnsi="Arial"/>
      <w:sz w:val="24"/>
    </w:rPr>
  </w:style>
  <w:style w:styleId="Style_12_ch" w:type="character">
    <w:name w:val="toc 4"/>
    <w:basedOn w:val="Style_9_ch"/>
    <w:link w:val="Style_12"/>
    <w:rPr>
      <w:rFonts w:ascii="Arial" w:hAnsi="Arial"/>
      <w:sz w:val="24"/>
    </w:rPr>
  </w:style>
  <w:style w:styleId="Style_13" w:type="paragraph">
    <w:name w:val="Переменная часть"/>
    <w:basedOn w:val="Style_14"/>
    <w:next w:val="Style_9"/>
    <w:link w:val="Style_13_ch"/>
  </w:style>
  <w:style w:styleId="Style_13_ch" w:type="character">
    <w:name w:val="Переменная часть"/>
    <w:basedOn w:val="Style_14_ch"/>
    <w:link w:val="Style_13"/>
  </w:style>
  <w:style w:styleId="Style_15" w:type="paragraph">
    <w:name w:val="dr007"/>
    <w:basedOn w:val="Style_9"/>
    <w:link w:val="Style_15_ch"/>
    <w:pPr>
      <w:spacing w:afterAutospacing="on" w:beforeAutospacing="on" w:line="240" w:lineRule="auto"/>
      <w:ind/>
    </w:pPr>
    <w:rPr>
      <w:rFonts w:ascii="Times New Roman" w:hAnsi="Times New Roman"/>
      <w:color w:val="000000"/>
      <w:sz w:val="24"/>
    </w:rPr>
  </w:style>
  <w:style w:styleId="Style_15_ch" w:type="character">
    <w:name w:val="dr007"/>
    <w:basedOn w:val="Style_9_ch"/>
    <w:link w:val="Style_15"/>
    <w:rPr>
      <w:rFonts w:ascii="Times New Roman" w:hAnsi="Times New Roman"/>
      <w:color w:val="000000"/>
      <w:sz w:val="24"/>
    </w:rPr>
  </w:style>
  <w:style w:styleId="Style_16" w:type="paragraph">
    <w:name w:val="Цветовое выделение для Нормальный"/>
    <w:basedOn w:val="Style_17"/>
    <w:link w:val="Style_16_ch"/>
    <w:rPr>
      <w:sz w:val="20"/>
    </w:rPr>
  </w:style>
  <w:style w:styleId="Style_16_ch" w:type="character">
    <w:name w:val="Цветовое выделение для Нормальный"/>
    <w:basedOn w:val="Style_17_ch"/>
    <w:link w:val="Style_16"/>
    <w:rPr>
      <w:sz w:val="20"/>
    </w:rPr>
  </w:style>
  <w:style w:styleId="Style_18" w:type="paragraph">
    <w:name w:val="toc 6"/>
    <w:basedOn w:val="Style_9"/>
    <w:next w:val="Style_9"/>
    <w:link w:val="Style_18_ch"/>
    <w:uiPriority w:val="39"/>
    <w:pPr>
      <w:widowControl w:val="0"/>
      <w:spacing w:after="0" w:line="240" w:lineRule="auto"/>
      <w:ind w:firstLine="720" w:left="1200"/>
      <w:jc w:val="both"/>
    </w:pPr>
    <w:rPr>
      <w:rFonts w:ascii="Arial" w:hAnsi="Arial"/>
      <w:sz w:val="24"/>
    </w:rPr>
  </w:style>
  <w:style w:styleId="Style_18_ch" w:type="character">
    <w:name w:val="toc 6"/>
    <w:basedOn w:val="Style_9_ch"/>
    <w:link w:val="Style_18"/>
    <w:rPr>
      <w:rFonts w:ascii="Arial" w:hAnsi="Arial"/>
      <w:sz w:val="24"/>
    </w:rPr>
  </w:style>
  <w:style w:styleId="Style_19" w:type="paragraph">
    <w:name w:val="toc 7"/>
    <w:basedOn w:val="Style_9"/>
    <w:next w:val="Style_9"/>
    <w:link w:val="Style_19_ch"/>
    <w:uiPriority w:val="39"/>
    <w:pPr>
      <w:widowControl w:val="0"/>
      <w:spacing w:after="0" w:line="240" w:lineRule="auto"/>
      <w:ind w:firstLine="720" w:left="1440"/>
      <w:jc w:val="both"/>
    </w:pPr>
    <w:rPr>
      <w:rFonts w:ascii="Arial" w:hAnsi="Arial"/>
      <w:sz w:val="24"/>
    </w:rPr>
  </w:style>
  <w:style w:styleId="Style_19_ch" w:type="character">
    <w:name w:val="toc 7"/>
    <w:basedOn w:val="Style_9_ch"/>
    <w:link w:val="Style_19"/>
    <w:rPr>
      <w:rFonts w:ascii="Arial" w:hAnsi="Arial"/>
      <w:sz w:val="24"/>
    </w:rPr>
  </w:style>
  <w:style w:styleId="Style_20" w:type="paragraph">
    <w:name w:val="Таблицы (моноширинный)"/>
    <w:basedOn w:val="Style_9"/>
    <w:next w:val="Style_9"/>
    <w:link w:val="Style_20_ch"/>
    <w:pPr>
      <w:widowControl w:val="0"/>
      <w:spacing w:after="0" w:line="240" w:lineRule="auto"/>
      <w:ind/>
      <w:jc w:val="both"/>
    </w:pPr>
    <w:rPr>
      <w:rFonts w:ascii="Courier New" w:hAnsi="Courier New"/>
      <w:sz w:val="24"/>
    </w:rPr>
  </w:style>
  <w:style w:styleId="Style_20_ch" w:type="character">
    <w:name w:val="Таблицы (моноширинный)"/>
    <w:basedOn w:val="Style_9_ch"/>
    <w:link w:val="Style_20"/>
    <w:rPr>
      <w:rFonts w:ascii="Courier New" w:hAnsi="Courier New"/>
      <w:sz w:val="24"/>
    </w:rPr>
  </w:style>
  <w:style w:styleId="Style_21" w:type="paragraph">
    <w:name w:val="Найденные слова"/>
    <w:basedOn w:val="Style_11"/>
    <w:link w:val="Style_21_ch"/>
    <w:rPr>
      <w:b w:val="1"/>
      <w:color w:val="000080"/>
      <w:sz w:val="24"/>
    </w:rPr>
  </w:style>
  <w:style w:styleId="Style_21_ch" w:type="character">
    <w:name w:val="Найденные слова"/>
    <w:basedOn w:val="Style_11_ch"/>
    <w:link w:val="Style_21"/>
    <w:rPr>
      <w:b w:val="1"/>
      <w:color w:val="000080"/>
      <w:sz w:val="24"/>
    </w:rPr>
  </w:style>
  <w:style w:styleId="Style_5" w:type="paragraph">
    <w:name w:val="ConsNormal"/>
    <w:link w:val="Style_5_ch"/>
    <w:pPr>
      <w:widowControl w:val="0"/>
      <w:spacing w:after="0" w:line="240" w:lineRule="auto"/>
      <w:ind w:firstLine="720" w:left="0"/>
    </w:pPr>
    <w:rPr>
      <w:rFonts w:ascii="Arial" w:hAnsi="Arial"/>
      <w:sz w:val="20"/>
    </w:rPr>
  </w:style>
  <w:style w:styleId="Style_5_ch" w:type="character">
    <w:name w:val="ConsNormal"/>
    <w:link w:val="Style_5"/>
    <w:rPr>
      <w:rFonts w:ascii="Arial" w:hAnsi="Arial"/>
      <w:sz w:val="20"/>
    </w:rPr>
  </w:style>
  <w:style w:styleId="Style_22" w:type="paragraph">
    <w:name w:val="heading 3"/>
    <w:basedOn w:val="Style_23"/>
    <w:next w:val="Style_9"/>
    <w:link w:val="Style_22_ch"/>
    <w:uiPriority w:val="9"/>
    <w:qFormat/>
    <w:pPr>
      <w:ind/>
      <w:outlineLvl w:val="2"/>
    </w:pPr>
  </w:style>
  <w:style w:styleId="Style_22_ch" w:type="character">
    <w:name w:val="heading 3"/>
    <w:basedOn w:val="Style_23_ch"/>
    <w:link w:val="Style_22"/>
  </w:style>
  <w:style w:styleId="Style_24" w:type="paragraph">
    <w:name w:val="footer"/>
    <w:basedOn w:val="Style_9"/>
    <w:link w:val="Style_24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4_ch" w:type="character">
    <w:name w:val="footer"/>
    <w:basedOn w:val="Style_9_ch"/>
    <w:link w:val="Style_24"/>
  </w:style>
  <w:style w:styleId="Style_25" w:type="paragraph">
    <w:name w:val="Словарная статья"/>
    <w:basedOn w:val="Style_9"/>
    <w:next w:val="Style_9"/>
    <w:link w:val="Style_25_ch"/>
    <w:pPr>
      <w:widowControl w:val="0"/>
      <w:spacing w:after="0" w:line="240" w:lineRule="auto"/>
      <w:ind w:right="118"/>
      <w:jc w:val="both"/>
    </w:pPr>
    <w:rPr>
      <w:rFonts w:ascii="Arial" w:hAnsi="Arial"/>
      <w:sz w:val="24"/>
    </w:rPr>
  </w:style>
  <w:style w:styleId="Style_25_ch" w:type="character">
    <w:name w:val="Словарная статья"/>
    <w:basedOn w:val="Style_9_ch"/>
    <w:link w:val="Style_25"/>
    <w:rPr>
      <w:rFonts w:ascii="Arial" w:hAnsi="Arial"/>
      <w:sz w:val="24"/>
    </w:rPr>
  </w:style>
  <w:style w:styleId="Style_26" w:type="paragraph">
    <w:name w:val="Не вступил в силу"/>
    <w:basedOn w:val="Style_11"/>
    <w:link w:val="Style_26_ch"/>
    <w:rPr>
      <w:b w:val="1"/>
      <w:color w:val="008080"/>
      <w:sz w:val="24"/>
    </w:rPr>
  </w:style>
  <w:style w:styleId="Style_26_ch" w:type="character">
    <w:name w:val="Не вступил в силу"/>
    <w:basedOn w:val="Style_11_ch"/>
    <w:link w:val="Style_26"/>
    <w:rPr>
      <w:b w:val="1"/>
      <w:color w:val="008080"/>
      <w:sz w:val="24"/>
    </w:rPr>
  </w:style>
  <w:style w:styleId="Style_27" w:type="paragraph">
    <w:name w:val="Продолжение ссылки"/>
    <w:basedOn w:val="Style_28"/>
    <w:link w:val="Style_27_ch"/>
    <w:rPr>
      <w:b w:val="1"/>
      <w:color w:val="008000"/>
      <w:sz w:val="24"/>
      <w:u w:val="single"/>
    </w:rPr>
  </w:style>
  <w:style w:styleId="Style_27_ch" w:type="character">
    <w:name w:val="Продолжение ссылки"/>
    <w:basedOn w:val="Style_28_ch"/>
    <w:link w:val="Style_27"/>
    <w:rPr>
      <w:b w:val="1"/>
      <w:color w:val="008000"/>
      <w:sz w:val="24"/>
      <w:u w:val="single"/>
    </w:rPr>
  </w:style>
  <w:style w:styleId="Style_29" w:type="paragraph">
    <w:name w:val="Заголовок статьи"/>
    <w:basedOn w:val="Style_9"/>
    <w:next w:val="Style_9"/>
    <w:link w:val="Style_29_ch"/>
    <w:pPr>
      <w:widowControl w:val="0"/>
      <w:spacing w:after="0" w:line="240" w:lineRule="auto"/>
      <w:ind w:hanging="892" w:left="1612"/>
      <w:jc w:val="both"/>
    </w:pPr>
    <w:rPr>
      <w:rFonts w:ascii="Arial" w:hAnsi="Arial"/>
      <w:sz w:val="24"/>
    </w:rPr>
  </w:style>
  <w:style w:styleId="Style_29_ch" w:type="character">
    <w:name w:val="Заголовок статьи"/>
    <w:basedOn w:val="Style_9_ch"/>
    <w:link w:val="Style_29"/>
    <w:rPr>
      <w:rFonts w:ascii="Arial" w:hAnsi="Arial"/>
      <w:sz w:val="24"/>
    </w:rPr>
  </w:style>
  <w:style w:styleId="Style_30" w:type="paragraph">
    <w:name w:val="Body Text Indent 3"/>
    <w:basedOn w:val="Style_9"/>
    <w:link w:val="Style_30_ch"/>
    <w:pPr>
      <w:widowControl w:val="0"/>
      <w:spacing w:after="0" w:line="240" w:lineRule="auto"/>
      <w:ind w:firstLine="284" w:left="0"/>
      <w:jc w:val="both"/>
    </w:pPr>
    <w:rPr>
      <w:rFonts w:ascii="Times New Roman" w:hAnsi="Times New Roman"/>
      <w:sz w:val="20"/>
    </w:rPr>
  </w:style>
  <w:style w:styleId="Style_30_ch" w:type="character">
    <w:name w:val="Body Text Indent 3"/>
    <w:basedOn w:val="Style_9_ch"/>
    <w:link w:val="Style_30"/>
    <w:rPr>
      <w:rFonts w:ascii="Times New Roman" w:hAnsi="Times New Roman"/>
      <w:sz w:val="20"/>
    </w:rPr>
  </w:style>
  <w:style w:styleId="Style_31" w:type="paragraph">
    <w:name w:val="toc 3"/>
    <w:basedOn w:val="Style_9"/>
    <w:next w:val="Style_9"/>
    <w:link w:val="Style_31_ch"/>
    <w:uiPriority w:val="39"/>
    <w:pPr>
      <w:widowControl w:val="0"/>
      <w:spacing w:after="0" w:line="240" w:lineRule="auto"/>
      <w:ind w:firstLine="720" w:left="480"/>
      <w:jc w:val="both"/>
    </w:pPr>
    <w:rPr>
      <w:rFonts w:ascii="Arial" w:hAnsi="Arial"/>
      <w:sz w:val="24"/>
    </w:rPr>
  </w:style>
  <w:style w:styleId="Style_31_ch" w:type="character">
    <w:name w:val="toc 3"/>
    <w:basedOn w:val="Style_9_ch"/>
    <w:link w:val="Style_31"/>
    <w:rPr>
      <w:rFonts w:ascii="Arial" w:hAnsi="Arial"/>
      <w:sz w:val="24"/>
    </w:rPr>
  </w:style>
  <w:style w:styleId="Style_6" w:type="paragraph">
    <w:name w:val="List Paragraph"/>
    <w:basedOn w:val="Style_9"/>
    <w:link w:val="Style_6_ch"/>
    <w:pPr>
      <w:ind w:firstLine="0" w:left="720"/>
      <w:contextualSpacing w:val="1"/>
    </w:pPr>
  </w:style>
  <w:style w:styleId="Style_6_ch" w:type="character">
    <w:name w:val="List Paragraph"/>
    <w:basedOn w:val="Style_9_ch"/>
    <w:link w:val="Style_6"/>
  </w:style>
  <w:style w:styleId="Style_32" w:type="paragraph">
    <w:name w:val="Balloon Text"/>
    <w:basedOn w:val="Style_9"/>
    <w:link w:val="Style_32_ch"/>
    <w:pPr>
      <w:spacing w:after="0" w:line="240" w:lineRule="auto"/>
      <w:ind/>
    </w:pPr>
    <w:rPr>
      <w:rFonts w:ascii="Tahoma" w:hAnsi="Tahoma"/>
      <w:sz w:val="16"/>
    </w:rPr>
  </w:style>
  <w:style w:styleId="Style_32_ch" w:type="character">
    <w:name w:val="Balloon Text"/>
    <w:basedOn w:val="Style_9_ch"/>
    <w:link w:val="Style_32"/>
    <w:rPr>
      <w:rFonts w:ascii="Tahoma" w:hAnsi="Tahoma"/>
      <w:sz w:val="16"/>
    </w:rPr>
  </w:style>
  <w:style w:styleId="Style_33" w:type="paragraph">
    <w:name w:val="Колонтитул (правый)"/>
    <w:basedOn w:val="Style_34"/>
    <w:next w:val="Style_9"/>
    <w:link w:val="Style_33_ch"/>
    <w:rPr>
      <w:sz w:val="18"/>
    </w:rPr>
  </w:style>
  <w:style w:styleId="Style_33_ch" w:type="character">
    <w:name w:val="Колонтитул (правый)"/>
    <w:basedOn w:val="Style_34_ch"/>
    <w:link w:val="Style_33"/>
    <w:rPr>
      <w:sz w:val="18"/>
    </w:rPr>
  </w:style>
  <w:style w:styleId="Style_35" w:type="paragraph">
    <w:name w:val="Прижатый влево"/>
    <w:basedOn w:val="Style_9"/>
    <w:next w:val="Style_9"/>
    <w:link w:val="Style_35_ch"/>
    <w:pPr>
      <w:widowControl w:val="0"/>
      <w:spacing w:after="0" w:line="240" w:lineRule="auto"/>
      <w:ind/>
    </w:pPr>
    <w:rPr>
      <w:rFonts w:ascii="Arial" w:hAnsi="Arial"/>
      <w:sz w:val="24"/>
    </w:rPr>
  </w:style>
  <w:style w:styleId="Style_35_ch" w:type="character">
    <w:name w:val="Прижатый влево"/>
    <w:basedOn w:val="Style_9_ch"/>
    <w:link w:val="Style_35"/>
    <w:rPr>
      <w:rFonts w:ascii="Arial" w:hAnsi="Arial"/>
      <w:sz w:val="24"/>
    </w:rPr>
  </w:style>
  <w:style w:styleId="Style_36" w:type="paragraph">
    <w:name w:val="heading 5"/>
    <w:basedOn w:val="Style_9"/>
    <w:next w:val="Style_9"/>
    <w:link w:val="Style_36_ch"/>
    <w:uiPriority w:val="9"/>
    <w:qFormat/>
    <w:pPr>
      <w:keepNext w:val="1"/>
      <w:widowControl w:val="0"/>
      <w:tabs>
        <w:tab w:leader="none" w:pos="284" w:val="left"/>
      </w:tabs>
      <w:spacing w:after="0" w:line="240" w:lineRule="auto"/>
      <w:ind w:firstLine="0" w:left="2417"/>
      <w:outlineLvl w:val="4"/>
    </w:pPr>
    <w:rPr>
      <w:rFonts w:ascii="Times New Roman" w:hAnsi="Times New Roman"/>
      <w:b w:val="1"/>
      <w:sz w:val="20"/>
    </w:rPr>
  </w:style>
  <w:style w:styleId="Style_36_ch" w:type="character">
    <w:name w:val="heading 5"/>
    <w:basedOn w:val="Style_9_ch"/>
    <w:link w:val="Style_36"/>
    <w:rPr>
      <w:rFonts w:ascii="Times New Roman" w:hAnsi="Times New Roman"/>
      <w:b w:val="1"/>
      <w:sz w:val="20"/>
    </w:rPr>
  </w:style>
  <w:style w:styleId="Style_37" w:type="paragraph">
    <w:name w:val="Body Text Indent"/>
    <w:basedOn w:val="Style_9"/>
    <w:link w:val="Style_37_ch"/>
    <w:pPr>
      <w:widowControl w:val="0"/>
      <w:spacing w:after="0" w:line="240" w:lineRule="auto"/>
      <w:ind w:firstLine="284" w:left="0"/>
      <w:jc w:val="both"/>
    </w:pPr>
    <w:rPr>
      <w:rFonts w:ascii="Times New Roman" w:hAnsi="Times New Roman"/>
      <w:sz w:val="24"/>
    </w:rPr>
  </w:style>
  <w:style w:styleId="Style_37_ch" w:type="character">
    <w:name w:val="Body Text Indent"/>
    <w:basedOn w:val="Style_9_ch"/>
    <w:link w:val="Style_37"/>
    <w:rPr>
      <w:rFonts w:ascii="Times New Roman" w:hAnsi="Times New Roman"/>
      <w:sz w:val="24"/>
    </w:rPr>
  </w:style>
  <w:style w:styleId="Style_28" w:type="paragraph">
    <w:name w:val="Гипертекстовая ссылка"/>
    <w:basedOn w:val="Style_11"/>
    <w:link w:val="Style_28_ch"/>
    <w:rPr>
      <w:b w:val="1"/>
      <w:color w:val="008000"/>
      <w:sz w:val="24"/>
      <w:u w:val="single"/>
    </w:rPr>
  </w:style>
  <w:style w:styleId="Style_28_ch" w:type="character">
    <w:name w:val="Гипертекстовая ссылка"/>
    <w:basedOn w:val="Style_11_ch"/>
    <w:link w:val="Style_28"/>
    <w:rPr>
      <w:b w:val="1"/>
      <w:color w:val="008000"/>
      <w:sz w:val="24"/>
      <w:u w:val="single"/>
    </w:rPr>
  </w:style>
  <w:style w:styleId="Style_38" w:type="paragraph">
    <w:name w:val="heading 1"/>
    <w:basedOn w:val="Style_9"/>
    <w:next w:val="Style_9"/>
    <w:link w:val="Style_38_ch"/>
    <w:uiPriority w:val="9"/>
    <w:qFormat/>
    <w:pPr>
      <w:widowControl w:val="0"/>
      <w:spacing w:after="120" w:before="120" w:line="240" w:lineRule="auto"/>
      <w:ind/>
      <w:jc w:val="center"/>
      <w:outlineLvl w:val="0"/>
    </w:pPr>
    <w:rPr>
      <w:rFonts w:ascii="Times New Roman" w:hAnsi="Times New Roman"/>
      <w:b w:val="1"/>
      <w:sz w:val="24"/>
    </w:rPr>
  </w:style>
  <w:style w:styleId="Style_38_ch" w:type="character">
    <w:name w:val="heading 1"/>
    <w:basedOn w:val="Style_9_ch"/>
    <w:link w:val="Style_38"/>
    <w:rPr>
      <w:rFonts w:ascii="Times New Roman" w:hAnsi="Times New Roman"/>
      <w:b w:val="1"/>
      <w:sz w:val="24"/>
    </w:rPr>
  </w:style>
  <w:style w:styleId="Style_39" w:type="paragraph">
    <w:name w:val="Hyperlink"/>
    <w:basedOn w:val="Style_17"/>
    <w:link w:val="Style_39_ch"/>
    <w:rPr>
      <w:color w:val="0000FF"/>
      <w:u w:val="single"/>
    </w:rPr>
  </w:style>
  <w:style w:styleId="Style_39_ch" w:type="character">
    <w:name w:val="Hyperlink"/>
    <w:basedOn w:val="Style_17_ch"/>
    <w:link w:val="Style_39"/>
    <w:rPr>
      <w:color w:val="0000FF"/>
      <w:u w:val="single"/>
    </w:rPr>
  </w:style>
  <w:style w:styleId="Style_40" w:type="paragraph">
    <w:name w:val="Footnote"/>
    <w:link w:val="Style_40_ch"/>
    <w:pPr>
      <w:ind w:firstLine="851" w:left="0"/>
      <w:jc w:val="both"/>
    </w:pPr>
    <w:rPr>
      <w:rFonts w:ascii="XO Thames" w:hAnsi="XO Thames"/>
      <w:sz w:val="22"/>
    </w:rPr>
  </w:style>
  <w:style w:styleId="Style_40_ch" w:type="character">
    <w:name w:val="Footnote"/>
    <w:link w:val="Style_40"/>
    <w:rPr>
      <w:rFonts w:ascii="XO Thames" w:hAnsi="XO Thames"/>
      <w:sz w:val="22"/>
    </w:rPr>
  </w:style>
  <w:style w:styleId="Style_41" w:type="paragraph">
    <w:name w:val="toc 1"/>
    <w:basedOn w:val="Style_9"/>
    <w:next w:val="Style_9"/>
    <w:link w:val="Style_41_ch"/>
    <w:uiPriority w:val="39"/>
    <w:pPr>
      <w:widowControl w:val="0"/>
      <w:spacing w:after="0" w:line="240" w:lineRule="auto"/>
      <w:ind w:firstLine="720" w:left="0"/>
      <w:jc w:val="both"/>
    </w:pPr>
    <w:rPr>
      <w:rFonts w:ascii="Arial" w:hAnsi="Arial"/>
      <w:sz w:val="24"/>
    </w:rPr>
  </w:style>
  <w:style w:styleId="Style_41_ch" w:type="character">
    <w:name w:val="toc 1"/>
    <w:basedOn w:val="Style_9_ch"/>
    <w:link w:val="Style_41"/>
    <w:rPr>
      <w:rFonts w:ascii="Arial" w:hAnsi="Arial"/>
      <w:sz w:val="24"/>
    </w:rPr>
  </w:style>
  <w:style w:styleId="Style_42" w:type="paragraph">
    <w:name w:val="Колонтитул (левый)"/>
    <w:basedOn w:val="Style_43"/>
    <w:next w:val="Style_9"/>
    <w:link w:val="Style_42_ch"/>
    <w:rPr>
      <w:sz w:val="18"/>
    </w:rPr>
  </w:style>
  <w:style w:styleId="Style_42_ch" w:type="character">
    <w:name w:val="Колонтитул (левый)"/>
    <w:basedOn w:val="Style_43_ch"/>
    <w:link w:val="Style_42"/>
    <w:rPr>
      <w:sz w:val="18"/>
    </w:rPr>
  </w:style>
  <w:style w:styleId="Style_44" w:type="paragraph">
    <w:name w:val="Header and Footer"/>
    <w:link w:val="Style_44_ch"/>
    <w:pPr>
      <w:spacing w:line="240" w:lineRule="auto"/>
      <w:ind/>
      <w:jc w:val="both"/>
    </w:pPr>
    <w:rPr>
      <w:rFonts w:ascii="XO Thames" w:hAnsi="XO Thames"/>
      <w:sz w:val="20"/>
    </w:rPr>
  </w:style>
  <w:style w:styleId="Style_44_ch" w:type="character">
    <w:name w:val="Header and Footer"/>
    <w:link w:val="Style_44"/>
    <w:rPr>
      <w:rFonts w:ascii="XO Thames" w:hAnsi="XO Thames"/>
      <w:sz w:val="20"/>
    </w:rPr>
  </w:style>
  <w:style w:styleId="Style_43" w:type="paragraph">
    <w:name w:val="Текст (лев. подпись)"/>
    <w:basedOn w:val="Style_9"/>
    <w:next w:val="Style_9"/>
    <w:link w:val="Style_43_ch"/>
    <w:pPr>
      <w:widowControl w:val="0"/>
      <w:spacing w:after="0" w:line="240" w:lineRule="auto"/>
      <w:ind/>
    </w:pPr>
    <w:rPr>
      <w:rFonts w:ascii="Arial" w:hAnsi="Arial"/>
      <w:sz w:val="24"/>
    </w:rPr>
  </w:style>
  <w:style w:styleId="Style_43_ch" w:type="character">
    <w:name w:val="Текст (лев. подпись)"/>
    <w:basedOn w:val="Style_9_ch"/>
    <w:link w:val="Style_43"/>
    <w:rPr>
      <w:rFonts w:ascii="Arial" w:hAnsi="Arial"/>
      <w:sz w:val="24"/>
    </w:rPr>
  </w:style>
  <w:style w:styleId="Style_45" w:type="paragraph">
    <w:name w:val="Комментарий"/>
    <w:basedOn w:val="Style_9"/>
    <w:next w:val="Style_9"/>
    <w:link w:val="Style_45_ch"/>
    <w:pPr>
      <w:widowControl w:val="0"/>
      <w:spacing w:after="0" w:line="240" w:lineRule="auto"/>
      <w:ind w:firstLine="0" w:left="170"/>
      <w:jc w:val="both"/>
    </w:pPr>
    <w:rPr>
      <w:rFonts w:ascii="Arial" w:hAnsi="Arial"/>
      <w:i w:val="1"/>
      <w:color w:val="800080"/>
      <w:sz w:val="24"/>
    </w:rPr>
  </w:style>
  <w:style w:styleId="Style_45_ch" w:type="character">
    <w:name w:val="Комментарий"/>
    <w:basedOn w:val="Style_9_ch"/>
    <w:link w:val="Style_45"/>
    <w:rPr>
      <w:rFonts w:ascii="Arial" w:hAnsi="Arial"/>
      <w:i w:val="1"/>
      <w:color w:val="800080"/>
      <w:sz w:val="24"/>
    </w:rPr>
  </w:style>
  <w:style w:styleId="Style_34" w:type="paragraph">
    <w:name w:val="Текст (прав. подпись)"/>
    <w:basedOn w:val="Style_9"/>
    <w:next w:val="Style_9"/>
    <w:link w:val="Style_34_ch"/>
    <w:pPr>
      <w:widowControl w:val="0"/>
      <w:spacing w:after="0" w:line="240" w:lineRule="auto"/>
      <w:ind/>
      <w:jc w:val="right"/>
    </w:pPr>
    <w:rPr>
      <w:rFonts w:ascii="Arial" w:hAnsi="Arial"/>
      <w:sz w:val="24"/>
    </w:rPr>
  </w:style>
  <w:style w:styleId="Style_34_ch" w:type="character">
    <w:name w:val="Текст (прав. подпись)"/>
    <w:basedOn w:val="Style_9_ch"/>
    <w:link w:val="Style_34"/>
    <w:rPr>
      <w:rFonts w:ascii="Arial" w:hAnsi="Arial"/>
      <w:sz w:val="24"/>
    </w:rPr>
  </w:style>
  <w:style w:styleId="Style_46" w:type="paragraph">
    <w:name w:val="Оглавление"/>
    <w:basedOn w:val="Style_20"/>
    <w:next w:val="Style_9"/>
    <w:link w:val="Style_46_ch"/>
    <w:pPr>
      <w:ind w:firstLine="0" w:left="140"/>
    </w:pPr>
  </w:style>
  <w:style w:styleId="Style_46_ch" w:type="character">
    <w:name w:val="Оглавление"/>
    <w:basedOn w:val="Style_20_ch"/>
    <w:link w:val="Style_46"/>
  </w:style>
  <w:style w:styleId="Style_47" w:type="paragraph">
    <w:name w:val="toc 9"/>
    <w:basedOn w:val="Style_9"/>
    <w:next w:val="Style_9"/>
    <w:link w:val="Style_47_ch"/>
    <w:uiPriority w:val="39"/>
    <w:pPr>
      <w:widowControl w:val="0"/>
      <w:spacing w:after="0" w:line="240" w:lineRule="auto"/>
      <w:ind w:firstLine="720" w:left="1920"/>
      <w:jc w:val="both"/>
    </w:pPr>
    <w:rPr>
      <w:rFonts w:ascii="Arial" w:hAnsi="Arial"/>
      <w:sz w:val="24"/>
    </w:rPr>
  </w:style>
  <w:style w:styleId="Style_47_ch" w:type="character">
    <w:name w:val="toc 9"/>
    <w:basedOn w:val="Style_9_ch"/>
    <w:link w:val="Style_47"/>
    <w:rPr>
      <w:rFonts w:ascii="Arial" w:hAnsi="Arial"/>
      <w:sz w:val="24"/>
    </w:rPr>
  </w:style>
  <w:style w:styleId="Style_48" w:type="paragraph">
    <w:name w:val="Постоянная часть"/>
    <w:basedOn w:val="Style_14"/>
    <w:next w:val="Style_9"/>
    <w:link w:val="Style_48_ch"/>
    <w:rPr>
      <w:b w:val="1"/>
      <w:u w:val="single"/>
    </w:rPr>
  </w:style>
  <w:style w:styleId="Style_48_ch" w:type="character">
    <w:name w:val="Постоянная часть"/>
    <w:basedOn w:val="Style_14_ch"/>
    <w:link w:val="Style_48"/>
    <w:rPr>
      <w:b w:val="1"/>
      <w:u w:val="single"/>
    </w:rPr>
  </w:style>
  <w:style w:styleId="Style_49" w:type="paragraph">
    <w:name w:val="toc 8"/>
    <w:basedOn w:val="Style_9"/>
    <w:next w:val="Style_9"/>
    <w:link w:val="Style_49_ch"/>
    <w:uiPriority w:val="39"/>
    <w:pPr>
      <w:widowControl w:val="0"/>
      <w:spacing w:after="0" w:line="240" w:lineRule="auto"/>
      <w:ind w:firstLine="720" w:left="1680"/>
      <w:jc w:val="both"/>
    </w:pPr>
    <w:rPr>
      <w:rFonts w:ascii="Arial" w:hAnsi="Arial"/>
      <w:sz w:val="24"/>
    </w:rPr>
  </w:style>
  <w:style w:styleId="Style_49_ch" w:type="character">
    <w:name w:val="toc 8"/>
    <w:basedOn w:val="Style_9_ch"/>
    <w:link w:val="Style_49"/>
    <w:rPr>
      <w:rFonts w:ascii="Arial" w:hAnsi="Arial"/>
      <w:sz w:val="24"/>
    </w:rPr>
  </w:style>
  <w:style w:styleId="Style_50" w:type="paragraph">
    <w:name w:val="Body Text 2"/>
    <w:basedOn w:val="Style_9"/>
    <w:link w:val="Style_50_ch"/>
    <w:pPr>
      <w:widowControl w:val="0"/>
      <w:spacing w:after="120" w:before="120" w:line="240" w:lineRule="auto"/>
      <w:ind/>
      <w:jc w:val="center"/>
    </w:pPr>
    <w:rPr>
      <w:rFonts w:ascii="Times New Roman" w:hAnsi="Times New Roman"/>
      <w:b w:val="1"/>
      <w:sz w:val="28"/>
    </w:rPr>
  </w:style>
  <w:style w:styleId="Style_50_ch" w:type="character">
    <w:name w:val="Body Text 2"/>
    <w:basedOn w:val="Style_9_ch"/>
    <w:link w:val="Style_50"/>
    <w:rPr>
      <w:rFonts w:ascii="Times New Roman" w:hAnsi="Times New Roman"/>
      <w:b w:val="1"/>
      <w:sz w:val="28"/>
    </w:rPr>
  </w:style>
  <w:style w:styleId="Style_51" w:type="paragraph">
    <w:name w:val="FollowedHyperlink"/>
    <w:basedOn w:val="Style_17"/>
    <w:link w:val="Style_51_ch"/>
    <w:rPr>
      <w:color w:val="800080"/>
      <w:u w:val="single"/>
    </w:rPr>
  </w:style>
  <w:style w:styleId="Style_51_ch" w:type="character">
    <w:name w:val="FollowedHyperlink"/>
    <w:basedOn w:val="Style_17_ch"/>
    <w:link w:val="Style_51"/>
    <w:rPr>
      <w:color w:val="800080"/>
      <w:u w:val="single"/>
    </w:rPr>
  </w:style>
  <w:style w:styleId="Style_52" w:type="paragraph">
    <w:name w:val="Body Text Indent 2"/>
    <w:basedOn w:val="Style_9"/>
    <w:link w:val="Style_52_ch"/>
    <w:pPr>
      <w:widowControl w:val="0"/>
      <w:spacing w:after="0" w:line="240" w:lineRule="auto"/>
      <w:ind w:firstLine="284" w:left="0"/>
      <w:jc w:val="both"/>
    </w:pPr>
    <w:rPr>
      <w:rFonts w:ascii="Times New Roman" w:hAnsi="Times New Roman"/>
      <w:b w:val="1"/>
      <w:sz w:val="24"/>
    </w:rPr>
  </w:style>
  <w:style w:styleId="Style_52_ch" w:type="character">
    <w:name w:val="Body Text Indent 2"/>
    <w:basedOn w:val="Style_9_ch"/>
    <w:link w:val="Style_52"/>
    <w:rPr>
      <w:rFonts w:ascii="Times New Roman" w:hAnsi="Times New Roman"/>
      <w:b w:val="1"/>
      <w:sz w:val="24"/>
    </w:rPr>
  </w:style>
  <w:style w:styleId="Style_53" w:type="paragraph">
    <w:name w:val="Утратил силу"/>
    <w:basedOn w:val="Style_11"/>
    <w:link w:val="Style_53_ch"/>
    <w:rPr>
      <w:b w:val="1"/>
      <w:strike w:val="1"/>
      <w:color w:val="808000"/>
      <w:sz w:val="24"/>
    </w:rPr>
  </w:style>
  <w:style w:styleId="Style_53_ch" w:type="character">
    <w:name w:val="Утратил силу"/>
    <w:basedOn w:val="Style_11_ch"/>
    <w:link w:val="Style_53"/>
    <w:rPr>
      <w:b w:val="1"/>
      <w:strike w:val="1"/>
      <w:color w:val="808000"/>
      <w:sz w:val="24"/>
    </w:rPr>
  </w:style>
  <w:style w:styleId="Style_54" w:type="paragraph">
    <w:name w:val="toc 5"/>
    <w:basedOn w:val="Style_9"/>
    <w:next w:val="Style_9"/>
    <w:link w:val="Style_54_ch"/>
    <w:uiPriority w:val="39"/>
    <w:pPr>
      <w:widowControl w:val="0"/>
      <w:spacing w:after="0" w:line="240" w:lineRule="auto"/>
      <w:ind w:firstLine="720" w:left="960"/>
      <w:jc w:val="both"/>
    </w:pPr>
    <w:rPr>
      <w:rFonts w:ascii="Arial" w:hAnsi="Arial"/>
      <w:sz w:val="24"/>
    </w:rPr>
  </w:style>
  <w:style w:styleId="Style_54_ch" w:type="character">
    <w:name w:val="toc 5"/>
    <w:basedOn w:val="Style_9_ch"/>
    <w:link w:val="Style_54"/>
    <w:rPr>
      <w:rFonts w:ascii="Arial" w:hAnsi="Arial"/>
      <w:sz w:val="24"/>
    </w:rPr>
  </w:style>
  <w:style w:styleId="Style_3" w:type="paragraph">
    <w:name w:val="Основной текст (3)"/>
    <w:basedOn w:val="Style_9"/>
    <w:link w:val="Style_3_ch"/>
    <w:pPr>
      <w:widowControl w:val="0"/>
      <w:spacing w:after="360" w:line="0" w:lineRule="atLeast"/>
      <w:ind/>
      <w:jc w:val="center"/>
    </w:pPr>
    <w:rPr>
      <w:b w:val="1"/>
      <w:spacing w:val="-1"/>
      <w:sz w:val="26"/>
    </w:rPr>
  </w:style>
  <w:style w:styleId="Style_3_ch" w:type="character">
    <w:name w:val="Основной текст (3)"/>
    <w:basedOn w:val="Style_9_ch"/>
    <w:link w:val="Style_3"/>
    <w:rPr>
      <w:b w:val="1"/>
      <w:spacing w:val="-1"/>
      <w:sz w:val="26"/>
    </w:rPr>
  </w:style>
  <w:style w:styleId="Style_14" w:type="paragraph">
    <w:name w:val="Основное меню"/>
    <w:basedOn w:val="Style_9"/>
    <w:next w:val="Style_9"/>
    <w:link w:val="Style_14_ch"/>
    <w:pPr>
      <w:widowControl w:val="0"/>
      <w:spacing w:after="0" w:line="240" w:lineRule="auto"/>
      <w:ind w:firstLine="720" w:left="0"/>
      <w:jc w:val="both"/>
    </w:pPr>
    <w:rPr>
      <w:rFonts w:ascii="Verdana" w:hAnsi="Verdana"/>
    </w:rPr>
  </w:style>
  <w:style w:styleId="Style_14_ch" w:type="character">
    <w:name w:val="Основное меню"/>
    <w:basedOn w:val="Style_9_ch"/>
    <w:link w:val="Style_14"/>
    <w:rPr>
      <w:rFonts w:ascii="Verdana" w:hAnsi="Verdana"/>
    </w:rPr>
  </w:style>
  <w:style w:styleId="Style_4" w:type="paragraph">
    <w:name w:val="ConsPlusNormal"/>
    <w:link w:val="Style_4_ch"/>
    <w:pPr>
      <w:widowControl w:val="0"/>
      <w:spacing w:after="0" w:line="240" w:lineRule="auto"/>
      <w:ind/>
    </w:pPr>
    <w:rPr>
      <w:rFonts w:ascii="Calibri" w:hAnsi="Calibri"/>
    </w:rPr>
  </w:style>
  <w:style w:styleId="Style_4_ch" w:type="character">
    <w:name w:val="ConsPlusNormal"/>
    <w:link w:val="Style_4"/>
    <w:rPr>
      <w:rFonts w:ascii="Calibri" w:hAnsi="Calibri"/>
    </w:rPr>
  </w:style>
  <w:style w:styleId="Style_55" w:type="paragraph">
    <w:name w:val="Subtitle"/>
    <w:next w:val="Style_9"/>
    <w:link w:val="Style_5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55_ch" w:type="character">
    <w:name w:val="Subtitle"/>
    <w:link w:val="Style_55"/>
    <w:rPr>
      <w:rFonts w:ascii="XO Thames" w:hAnsi="XO Thames"/>
      <w:i w:val="1"/>
      <w:sz w:val="24"/>
    </w:rPr>
  </w:style>
  <w:style w:styleId="Style_56" w:type="paragraph">
    <w:name w:val="Title"/>
    <w:next w:val="Style_9"/>
    <w:link w:val="Style_56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56_ch" w:type="character">
    <w:name w:val="Title"/>
    <w:link w:val="Style_56"/>
    <w:rPr>
      <w:rFonts w:ascii="XO Thames" w:hAnsi="XO Thames"/>
      <w:b w:val="1"/>
      <w:caps w:val="1"/>
      <w:sz w:val="40"/>
    </w:rPr>
  </w:style>
  <w:style w:styleId="Style_57" w:type="paragraph">
    <w:name w:val="Body Text"/>
    <w:basedOn w:val="Style_9"/>
    <w:link w:val="Style_57_ch"/>
    <w:pPr>
      <w:widowControl w:val="0"/>
      <w:spacing w:after="120" w:before="120" w:line="240" w:lineRule="auto"/>
      <w:ind/>
      <w:jc w:val="center"/>
    </w:pPr>
    <w:rPr>
      <w:rFonts w:ascii="Times New Roman" w:hAnsi="Times New Roman"/>
      <w:b w:val="1"/>
      <w:sz w:val="24"/>
    </w:rPr>
  </w:style>
  <w:style w:styleId="Style_57_ch" w:type="character">
    <w:name w:val="Body Text"/>
    <w:basedOn w:val="Style_9_ch"/>
    <w:link w:val="Style_57"/>
    <w:rPr>
      <w:rFonts w:ascii="Times New Roman" w:hAnsi="Times New Roman"/>
      <w:b w:val="1"/>
      <w:sz w:val="24"/>
    </w:rPr>
  </w:style>
  <w:style w:styleId="Style_58" w:type="paragraph">
    <w:name w:val="heading 4"/>
    <w:basedOn w:val="Style_22"/>
    <w:next w:val="Style_9"/>
    <w:link w:val="Style_58_ch"/>
    <w:uiPriority w:val="9"/>
    <w:qFormat/>
    <w:pPr>
      <w:ind/>
      <w:outlineLvl w:val="3"/>
    </w:pPr>
  </w:style>
  <w:style w:styleId="Style_58_ch" w:type="character">
    <w:name w:val="heading 4"/>
    <w:basedOn w:val="Style_22_ch"/>
    <w:link w:val="Style_58"/>
  </w:style>
  <w:style w:styleId="Style_59" w:type="paragraph">
    <w:name w:val="Комментарий пользователя"/>
    <w:basedOn w:val="Style_45"/>
    <w:next w:val="Style_9"/>
    <w:link w:val="Style_59_ch"/>
    <w:pPr>
      <w:ind/>
      <w:jc w:val="left"/>
    </w:pPr>
    <w:rPr>
      <w:color w:val="000080"/>
    </w:rPr>
  </w:style>
  <w:style w:styleId="Style_59_ch" w:type="character">
    <w:name w:val="Комментарий пользователя"/>
    <w:basedOn w:val="Style_45_ch"/>
    <w:link w:val="Style_59"/>
    <w:rPr>
      <w:color w:val="000080"/>
    </w:rPr>
  </w:style>
  <w:style w:styleId="Style_17" w:type="paragraph">
    <w:name w:val="Default Paragraph Font"/>
    <w:link w:val="Style_17_ch"/>
  </w:style>
  <w:style w:styleId="Style_17_ch" w:type="character">
    <w:name w:val="Default Paragraph Font"/>
    <w:link w:val="Style_17"/>
  </w:style>
  <w:style w:styleId="Style_23" w:type="paragraph">
    <w:name w:val="heading 2"/>
    <w:basedOn w:val="Style_38"/>
    <w:next w:val="Style_9"/>
    <w:link w:val="Style_23_ch"/>
    <w:uiPriority w:val="9"/>
    <w:qFormat/>
    <w:pPr>
      <w:ind/>
      <w:outlineLvl w:val="1"/>
    </w:pPr>
  </w:style>
  <w:style w:styleId="Style_23_ch" w:type="character">
    <w:name w:val="heading 2"/>
    <w:basedOn w:val="Style_38_ch"/>
    <w:link w:val="Style_23"/>
  </w:style>
  <w:style w:styleId="Style_60" w:type="paragraph">
    <w:name w:val="Текст (справка)"/>
    <w:basedOn w:val="Style_9"/>
    <w:next w:val="Style_9"/>
    <w:link w:val="Style_60_ch"/>
    <w:pPr>
      <w:widowControl w:val="0"/>
      <w:spacing w:after="0" w:line="240" w:lineRule="auto"/>
      <w:ind w:firstLine="0" w:left="170" w:right="170"/>
    </w:pPr>
    <w:rPr>
      <w:rFonts w:ascii="Arial" w:hAnsi="Arial"/>
      <w:sz w:val="24"/>
    </w:rPr>
  </w:style>
  <w:style w:styleId="Style_60_ch" w:type="character">
    <w:name w:val="Текст (справка)"/>
    <w:basedOn w:val="Style_9_ch"/>
    <w:link w:val="Style_60"/>
    <w:rPr>
      <w:rFonts w:ascii="Arial" w:hAnsi="Arial"/>
      <w:sz w:val="24"/>
    </w:rPr>
  </w:style>
  <w:style w:styleId="Style_7" w:type="table">
    <w:name w:val="Сетка таблицы1"/>
    <w:basedOn w:val="Style_1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8" w:type="table">
    <w:name w:val="Table Grid"/>
    <w:basedOn w:val="Style_1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36" Target="styles.xml" Type="http://schemas.openxmlformats.org/officeDocument/2006/relationships/styles"/>
  <Relationship Id="rId35" Target="settings.xml" Type="http://schemas.openxmlformats.org/officeDocument/2006/relationships/settings"/>
  <Relationship Id="rId33" Target="media/32.png" Type="http://schemas.openxmlformats.org/officeDocument/2006/relationships/image"/>
  <Relationship Id="rId30" Target="media/29.jpeg" Type="http://schemas.openxmlformats.org/officeDocument/2006/relationships/image"/>
  <Relationship Id="rId21" Target="media/20.emf" Type="http://schemas.openxmlformats.org/officeDocument/2006/relationships/image"/>
  <Relationship Id="rId27" Target="media/26.jpeg" Type="http://schemas.openxmlformats.org/officeDocument/2006/relationships/image"/>
  <Relationship Id="rId26" Target="media/25.emf" Type="http://schemas.openxmlformats.org/officeDocument/2006/relationships/image"/>
  <Relationship Id="rId24" Target="media/23.png" Type="http://schemas.openxmlformats.org/officeDocument/2006/relationships/image"/>
  <Relationship Id="rId20" Target="media/19.emf" Type="http://schemas.openxmlformats.org/officeDocument/2006/relationships/image"/>
  <Relationship Id="rId23" Target="media/22.emf" Type="http://schemas.openxmlformats.org/officeDocument/2006/relationships/image"/>
  <Relationship Id="rId22" Target="media/21.emf" Type="http://schemas.openxmlformats.org/officeDocument/2006/relationships/image"/>
  <Relationship Id="rId19" Target="media/18.emf" Type="http://schemas.openxmlformats.org/officeDocument/2006/relationships/image"/>
  <Relationship Id="rId39" Target="theme/theme1.xml" Type="http://schemas.openxmlformats.org/officeDocument/2006/relationships/theme"/>
  <Relationship Id="rId13" Target="media/12.emf" Type="http://schemas.openxmlformats.org/officeDocument/2006/relationships/image"/>
  <Relationship Id="rId16" Target="media/15.emf" Type="http://schemas.openxmlformats.org/officeDocument/2006/relationships/image"/>
  <Relationship Id="rId32" Target="media/31.jpeg" Type="http://schemas.openxmlformats.org/officeDocument/2006/relationships/image"/>
  <Relationship Id="rId12" Target="media/11.emf" Type="http://schemas.openxmlformats.org/officeDocument/2006/relationships/image"/>
  <Relationship Id="rId8" Target="media/7.png" Type="http://schemas.openxmlformats.org/officeDocument/2006/relationships/image"/>
  <Relationship Id="rId11" Target="media/10.emf" Type="http://schemas.openxmlformats.org/officeDocument/2006/relationships/image"/>
  <Relationship Id="rId14" Target="media/13.png" Type="http://schemas.openxmlformats.org/officeDocument/2006/relationships/image"/>
  <Relationship Id="rId38" Target="webSettings.xml" Type="http://schemas.openxmlformats.org/officeDocument/2006/relationships/webSettings"/>
  <Relationship Id="rId37" Target="stylesWithEffects.xml" Type="http://schemas.microsoft.com/office/2007/relationships/stylesWithEffects"/>
  <Relationship Id="rId31" Target="media/30.jpeg" Type="http://schemas.openxmlformats.org/officeDocument/2006/relationships/image"/>
  <Relationship Id="rId7" Target="media/6.emf" Type="http://schemas.openxmlformats.org/officeDocument/2006/relationships/image"/>
  <Relationship Id="rId10" Target="media/9.emf" Type="http://schemas.openxmlformats.org/officeDocument/2006/relationships/image"/>
  <Relationship Id="rId3" Target="media/2.emf" Type="http://schemas.openxmlformats.org/officeDocument/2006/relationships/image"/>
  <Relationship Id="rId15" Target="media/14.emf" Type="http://schemas.openxmlformats.org/officeDocument/2006/relationships/image"/>
  <Relationship Id="rId18" Target="media/17.emf" Type="http://schemas.openxmlformats.org/officeDocument/2006/relationships/image"/>
  <Relationship Id="rId1" Target="header1.xml" Type="http://schemas.openxmlformats.org/officeDocument/2006/relationships/header"/>
  <Relationship Id="rId9" Target="media/8.png" Type="http://schemas.openxmlformats.org/officeDocument/2006/relationships/image"/>
  <Relationship Id="rId6" Target="media/5.emf" Type="http://schemas.openxmlformats.org/officeDocument/2006/relationships/image"/>
  <Relationship Id="rId17" Target="media/16.emf" Type="http://schemas.openxmlformats.org/officeDocument/2006/relationships/image"/>
  <Relationship Id="rId29" Target="media/28.jpeg" Type="http://schemas.openxmlformats.org/officeDocument/2006/relationships/image"/>
  <Relationship Id="rId40" Target="numbering.xml" Type="http://schemas.openxmlformats.org/officeDocument/2006/relationships/numbering"/>
  <Relationship Id="rId25" Target="media/24.emf" Type="http://schemas.openxmlformats.org/officeDocument/2006/relationships/image"/>
  <Relationship Id="rId2" Target="media/1.jpeg" Type="http://schemas.openxmlformats.org/officeDocument/2006/relationships/image"/>
  <Relationship Id="rId5" Target="media/4.emf" Type="http://schemas.openxmlformats.org/officeDocument/2006/relationships/image"/>
  <Relationship Id="rId34" Target="fontTable.xml" Type="http://schemas.openxmlformats.org/officeDocument/2006/relationships/fontTable"/>
  <Relationship Id="rId4" Target="media/3.emf" Type="http://schemas.openxmlformats.org/officeDocument/2006/relationships/image"/>
  <Relationship Id="rId28" Target="media/27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2022-11-02T06:39:15Z</dcterms:modified>
</cp:coreProperties>
</file>